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643E" w14:textId="1E2B7106" w:rsidR="003972D7" w:rsidRDefault="00192E32" w:rsidP="006E08DA">
      <w:pPr>
        <w:rPr>
          <w:b/>
          <w:sz w:val="24"/>
        </w:rPr>
      </w:pPr>
      <w:r w:rsidRPr="00E23889">
        <w:rPr>
          <w:b/>
          <w:sz w:val="24"/>
        </w:rPr>
        <w:t xml:space="preserve">L’INTERSCAMBIO COMMERCIALE DELLA PROVINCIA DI FIRENZE NEL </w:t>
      </w:r>
      <w:r w:rsidR="003972D7">
        <w:rPr>
          <w:b/>
          <w:sz w:val="24"/>
        </w:rPr>
        <w:t>PRIMO</w:t>
      </w:r>
      <w:r w:rsidRPr="00E23889">
        <w:rPr>
          <w:b/>
          <w:sz w:val="24"/>
        </w:rPr>
        <w:t xml:space="preserve"> TRIMESTRE 202</w:t>
      </w:r>
      <w:r w:rsidR="003972D7">
        <w:rPr>
          <w:b/>
          <w:sz w:val="24"/>
        </w:rPr>
        <w:t>5</w:t>
      </w:r>
    </w:p>
    <w:p w14:paraId="45360A61" w14:textId="7787D0FB" w:rsidR="00F94C21" w:rsidRPr="00F94C21" w:rsidRDefault="00F94C21" w:rsidP="006E08D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Quadro di sintesi</w:t>
      </w:r>
    </w:p>
    <w:p w14:paraId="34EE2309" w14:textId="5246E6F6" w:rsidR="003972D7" w:rsidRDefault="003972D7" w:rsidP="00DD7095">
      <w:pPr>
        <w:jc w:val="both"/>
      </w:pPr>
      <w:r>
        <w:t xml:space="preserve">Nei primi tre mesi </w:t>
      </w:r>
      <w:r w:rsidR="00596190">
        <w:t>del</w:t>
      </w:r>
      <w:r w:rsidR="009474E9">
        <w:t xml:space="preserve"> 202</w:t>
      </w:r>
      <w:r>
        <w:t>5</w:t>
      </w:r>
      <w:r w:rsidR="00376BCE" w:rsidRPr="00376BCE">
        <w:t xml:space="preserve"> il commercio estero fiorentino </w:t>
      </w:r>
      <w:r>
        <w:t xml:space="preserve">si è caratterizzato per </w:t>
      </w:r>
      <w:r w:rsidR="00B23981">
        <w:t xml:space="preserve">un andamento </w:t>
      </w:r>
      <w:r>
        <w:t xml:space="preserve">fortemente </w:t>
      </w:r>
      <w:r w:rsidR="00B23981">
        <w:t xml:space="preserve">positivo, </w:t>
      </w:r>
      <w:r>
        <w:t>come da attese del resto</w:t>
      </w:r>
      <w:r w:rsidR="00B23981">
        <w:t xml:space="preserve">, </w:t>
      </w:r>
      <w:r w:rsidR="00596190">
        <w:t>con un aumento, a</w:t>
      </w:r>
      <w:r w:rsidR="009474E9">
        <w:t xml:space="preserve"> </w:t>
      </w:r>
      <w:r w:rsidR="0078642C">
        <w:t>va</w:t>
      </w:r>
      <w:r w:rsidR="00596190">
        <w:t xml:space="preserve">lori correnti, </w:t>
      </w:r>
      <w:r>
        <w:t xml:space="preserve">che va oltre la variazione positiva con cui si era concluso il 2024 passando quindi </w:t>
      </w:r>
      <w:r w:rsidR="00596190">
        <w:t>d</w:t>
      </w:r>
      <w:r>
        <w:t>a</w:t>
      </w:r>
      <w:r w:rsidR="00596190">
        <w:t xml:space="preserve">l </w:t>
      </w:r>
      <w:r>
        <w:t>+</w:t>
      </w:r>
      <w:r w:rsidR="00B23981">
        <w:t>20,6</w:t>
      </w:r>
      <w:r w:rsidR="002D7171">
        <w:t xml:space="preserve">% </w:t>
      </w:r>
      <w:r>
        <w:t xml:space="preserve">al +29,7% </w:t>
      </w:r>
      <w:r w:rsidR="00596190">
        <w:t xml:space="preserve">arrivando a un livello del totale esportato, </w:t>
      </w:r>
      <w:r>
        <w:t xml:space="preserve">di </w:t>
      </w:r>
      <w:r w:rsidR="003A7167">
        <w:t>circa 7,</w:t>
      </w:r>
      <w:r>
        <w:t>2 miliardi di</w:t>
      </w:r>
      <w:r w:rsidR="009474E9">
        <w:t xml:space="preserve"> euro</w:t>
      </w:r>
      <w:r>
        <w:t>, come dato singolo</w:t>
      </w:r>
      <w:r w:rsidR="006B7611">
        <w:t xml:space="preserve"> al primo trimestre</w:t>
      </w:r>
      <w:r>
        <w:t>,</w:t>
      </w:r>
      <w:r w:rsidR="009474E9">
        <w:t xml:space="preserve"> ed evidenziando un incremento </w:t>
      </w:r>
      <w:r w:rsidR="00B23981">
        <w:t>fortemente</w:t>
      </w:r>
      <w:r w:rsidR="006B7611">
        <w:t xml:space="preserve"> </w:t>
      </w:r>
      <w:r w:rsidR="00B23981">
        <w:t xml:space="preserve">pronunciato </w:t>
      </w:r>
      <w:r w:rsidR="009474E9">
        <w:t>rispetto all</w:t>
      </w:r>
      <w:r w:rsidR="00596190">
        <w:t>o stesso periodo del 202</w:t>
      </w:r>
      <w:r>
        <w:t>4</w:t>
      </w:r>
      <w:r w:rsidR="00596190">
        <w:t xml:space="preserve"> (</w:t>
      </w:r>
      <w:r w:rsidR="00B23981">
        <w:t>+</w:t>
      </w:r>
      <w:r>
        <w:t>13,</w:t>
      </w:r>
      <w:r w:rsidR="00B23981">
        <w:t>2</w:t>
      </w:r>
      <w:r w:rsidR="00700599">
        <w:t xml:space="preserve">%). </w:t>
      </w:r>
      <w:r w:rsidR="006B7611">
        <w:t xml:space="preserve">Se riportiamo ad anno il dato sulle esportazioni arriviamo ad un totale di 26,2 miliardi di euro (+24,5%). </w:t>
      </w:r>
      <w:r w:rsidR="00B23981" w:rsidRPr="00B23981">
        <w:t>Questa tendenza di crescita</w:t>
      </w:r>
      <w:r w:rsidR="006B7611">
        <w:t xml:space="preserve"> aggregata</w:t>
      </w:r>
      <w:r w:rsidR="00B23981" w:rsidRPr="00B23981">
        <w:t xml:space="preserve"> delle esportazioni</w:t>
      </w:r>
      <w:r>
        <w:t xml:space="preserve"> così marcata deriva da due fattori</w:t>
      </w:r>
      <w:r w:rsidR="006B7611">
        <w:t>,</w:t>
      </w:r>
      <w:r>
        <w:t xml:space="preserve"> sostanziali ed incisivi caratterizzanti proprio l’attuale congiuntura</w:t>
      </w:r>
      <w:r w:rsidR="006B7611">
        <w:t>, a cui se ne è aggiunto uno interessante</w:t>
      </w:r>
      <w:r>
        <w:t>: un primo è il ruolo ormai predominante del comparto farmaceutico nell’orientare il segno del nostro export</w:t>
      </w:r>
      <w:r w:rsidR="006B7611">
        <w:t xml:space="preserve">; un secondo è la necessità di massimizzare la direttrice statunitense, prima del </w:t>
      </w:r>
      <w:proofErr w:type="spellStart"/>
      <w:r w:rsidR="006B7611">
        <w:t>liberation</w:t>
      </w:r>
      <w:proofErr w:type="spellEnd"/>
      <w:r w:rsidR="006B7611">
        <w:t xml:space="preserve"> </w:t>
      </w:r>
      <w:proofErr w:type="spellStart"/>
      <w:r w:rsidR="006B7611">
        <w:t>day</w:t>
      </w:r>
      <w:proofErr w:type="spellEnd"/>
      <w:r w:rsidR="006B7611">
        <w:t xml:space="preserve">, soprattutto come export (+32,5%); un terzo, tuttavia, è la capacità di tenuta e di ripartenza che sta mostrando la meccanica strumentale (+16,9%). E’ abbastanza intuitivo il fatto che se togliamo il comparto farmaceutico si avrebbe un crollo del valore esportato tendenziale (su dato singolo) con una contrazione del 14,3% considerando che il comparto incide ben per il 49%. </w:t>
      </w:r>
    </w:p>
    <w:p w14:paraId="7555FA55" w14:textId="6834680E" w:rsidR="00D912E9" w:rsidRPr="00704B66" w:rsidRDefault="006B7611" w:rsidP="00DD7095">
      <w:pPr>
        <w:jc w:val="both"/>
        <w:rPr>
          <w:sz w:val="23"/>
          <w:szCs w:val="23"/>
        </w:rPr>
      </w:pPr>
      <w:r w:rsidRPr="00704B66">
        <w:rPr>
          <w:sz w:val="23"/>
          <w:szCs w:val="23"/>
        </w:rPr>
        <w:t>Per l</w:t>
      </w:r>
      <w:r w:rsidR="000C429C" w:rsidRPr="00704B66">
        <w:rPr>
          <w:sz w:val="23"/>
          <w:szCs w:val="23"/>
        </w:rPr>
        <w:t>a dinamica delle</w:t>
      </w:r>
      <w:r w:rsidR="00CF2B77" w:rsidRPr="00704B66">
        <w:rPr>
          <w:sz w:val="23"/>
          <w:szCs w:val="23"/>
        </w:rPr>
        <w:t xml:space="preserve"> importazioni</w:t>
      </w:r>
      <w:r w:rsidR="000C429C" w:rsidRPr="00704B66">
        <w:rPr>
          <w:sz w:val="23"/>
          <w:szCs w:val="23"/>
        </w:rPr>
        <w:t xml:space="preserve"> vale un discorso </w:t>
      </w:r>
      <w:r w:rsidR="003A7167" w:rsidRPr="00704B66">
        <w:rPr>
          <w:sz w:val="23"/>
          <w:szCs w:val="23"/>
        </w:rPr>
        <w:t>simile</w:t>
      </w:r>
      <w:r w:rsidRPr="00704B66">
        <w:rPr>
          <w:sz w:val="23"/>
          <w:szCs w:val="23"/>
        </w:rPr>
        <w:t xml:space="preserve"> rispetto </w:t>
      </w:r>
      <w:r w:rsidR="000C429C" w:rsidRPr="00704B66">
        <w:rPr>
          <w:sz w:val="23"/>
          <w:szCs w:val="23"/>
        </w:rPr>
        <w:t>a quanto rilevato per l’export</w:t>
      </w:r>
      <w:r w:rsidR="003A7167" w:rsidRPr="00704B66">
        <w:rPr>
          <w:sz w:val="23"/>
          <w:szCs w:val="23"/>
        </w:rPr>
        <w:t>, con una leggera differenza</w:t>
      </w:r>
      <w:r w:rsidRPr="00704B66">
        <w:rPr>
          <w:sz w:val="23"/>
          <w:szCs w:val="23"/>
        </w:rPr>
        <w:t xml:space="preserve">: </w:t>
      </w:r>
      <w:r w:rsidR="000C429C" w:rsidRPr="00704B66">
        <w:rPr>
          <w:sz w:val="23"/>
          <w:szCs w:val="23"/>
        </w:rPr>
        <w:t xml:space="preserve">si rileva una </w:t>
      </w:r>
      <w:r w:rsidR="003A7167" w:rsidRPr="00704B66">
        <w:rPr>
          <w:sz w:val="23"/>
          <w:szCs w:val="23"/>
        </w:rPr>
        <w:t>crescita</w:t>
      </w:r>
      <w:r w:rsidRPr="00704B66">
        <w:rPr>
          <w:sz w:val="23"/>
          <w:szCs w:val="23"/>
        </w:rPr>
        <w:t xml:space="preserve"> </w:t>
      </w:r>
      <w:r w:rsidR="000C429C" w:rsidRPr="00704B66">
        <w:rPr>
          <w:sz w:val="23"/>
          <w:szCs w:val="23"/>
        </w:rPr>
        <w:t xml:space="preserve">molto forte e pari al </w:t>
      </w:r>
      <w:r w:rsidR="003A7167" w:rsidRPr="00704B66">
        <w:rPr>
          <w:sz w:val="23"/>
          <w:szCs w:val="23"/>
        </w:rPr>
        <w:t>40,9</w:t>
      </w:r>
      <w:r w:rsidR="00F05A34" w:rsidRPr="00704B66">
        <w:rPr>
          <w:sz w:val="23"/>
          <w:szCs w:val="23"/>
        </w:rPr>
        <w:t xml:space="preserve">% con un valore degli acquisti dall’estero di circa </w:t>
      </w:r>
      <w:r w:rsidR="003A7167" w:rsidRPr="00704B66">
        <w:rPr>
          <w:sz w:val="23"/>
          <w:szCs w:val="23"/>
        </w:rPr>
        <w:t>5,2</w:t>
      </w:r>
      <w:r w:rsidR="00F05A34" w:rsidRPr="00704B66">
        <w:rPr>
          <w:sz w:val="23"/>
          <w:szCs w:val="23"/>
        </w:rPr>
        <w:t xml:space="preserve"> miliardi di euro</w:t>
      </w:r>
      <w:r w:rsidR="003A7167" w:rsidRPr="00704B66">
        <w:rPr>
          <w:sz w:val="23"/>
          <w:szCs w:val="23"/>
        </w:rPr>
        <w:t xml:space="preserve"> e</w:t>
      </w:r>
      <w:r w:rsidR="003A17BB" w:rsidRPr="00704B66">
        <w:rPr>
          <w:sz w:val="23"/>
          <w:szCs w:val="23"/>
        </w:rPr>
        <w:t xml:space="preserve"> </w:t>
      </w:r>
      <w:r w:rsidR="00F05A34" w:rsidRPr="00704B66">
        <w:rPr>
          <w:sz w:val="23"/>
          <w:szCs w:val="23"/>
        </w:rPr>
        <w:t>che anche in questo caso</w:t>
      </w:r>
      <w:r w:rsidR="00C86520" w:rsidRPr="00704B66">
        <w:rPr>
          <w:sz w:val="23"/>
          <w:szCs w:val="23"/>
        </w:rPr>
        <w:t xml:space="preserve"> avverte il peso sempre più intenso </w:t>
      </w:r>
      <w:r w:rsidR="001C0EF4" w:rsidRPr="00704B66">
        <w:rPr>
          <w:sz w:val="23"/>
          <w:szCs w:val="23"/>
        </w:rPr>
        <w:t>del traffico di perfezionamento interno al settore farmaceutico</w:t>
      </w:r>
      <w:r w:rsidR="00F05A34" w:rsidRPr="00704B66">
        <w:rPr>
          <w:sz w:val="23"/>
          <w:szCs w:val="23"/>
        </w:rPr>
        <w:t xml:space="preserve"> (prodotti farmaceutici di base); il settore incide per </w:t>
      </w:r>
      <w:r w:rsidR="00704B66" w:rsidRPr="00704B66">
        <w:rPr>
          <w:sz w:val="23"/>
          <w:szCs w:val="23"/>
        </w:rPr>
        <w:t xml:space="preserve">ben il 60% </w:t>
      </w:r>
      <w:r w:rsidR="00F05A34" w:rsidRPr="00704B66">
        <w:rPr>
          <w:sz w:val="23"/>
          <w:szCs w:val="23"/>
        </w:rPr>
        <w:t xml:space="preserve">del valore  importato, tanto che al netto del farmaceutico gli acquisti esteri scenderebbero a </w:t>
      </w:r>
      <w:r w:rsidR="00704B66" w:rsidRPr="00704B66">
        <w:rPr>
          <w:sz w:val="23"/>
          <w:szCs w:val="23"/>
        </w:rPr>
        <w:t>1,6</w:t>
      </w:r>
      <w:r w:rsidR="00F05A34" w:rsidRPr="00704B66">
        <w:rPr>
          <w:sz w:val="23"/>
          <w:szCs w:val="23"/>
        </w:rPr>
        <w:t xml:space="preserve"> miliardi </w:t>
      </w:r>
      <w:r w:rsidR="00D2576C" w:rsidRPr="00704B66">
        <w:rPr>
          <w:sz w:val="23"/>
          <w:szCs w:val="23"/>
        </w:rPr>
        <w:t xml:space="preserve">in valore, </w:t>
      </w:r>
      <w:r w:rsidR="00F05A34" w:rsidRPr="00704B66">
        <w:rPr>
          <w:sz w:val="23"/>
          <w:szCs w:val="23"/>
        </w:rPr>
        <w:t>con un</w:t>
      </w:r>
      <w:r w:rsidR="00704B66" w:rsidRPr="00704B66">
        <w:rPr>
          <w:sz w:val="23"/>
          <w:szCs w:val="23"/>
        </w:rPr>
        <w:t>a crescita moderata (+2</w:t>
      </w:r>
      <w:r w:rsidR="00F05A34" w:rsidRPr="00704B66">
        <w:rPr>
          <w:sz w:val="23"/>
          <w:szCs w:val="23"/>
        </w:rPr>
        <w:t>%</w:t>
      </w:r>
      <w:r w:rsidR="00704B66" w:rsidRPr="00704B66">
        <w:rPr>
          <w:sz w:val="23"/>
          <w:szCs w:val="23"/>
        </w:rPr>
        <w:t>)</w:t>
      </w:r>
      <w:r w:rsidR="00ED5DDE" w:rsidRPr="00704B66">
        <w:rPr>
          <w:sz w:val="23"/>
          <w:szCs w:val="23"/>
        </w:rPr>
        <w:t>. La</w:t>
      </w:r>
      <w:r w:rsidR="002252C6" w:rsidRPr="00704B66">
        <w:rPr>
          <w:sz w:val="23"/>
          <w:szCs w:val="23"/>
        </w:rPr>
        <w:t xml:space="preserve"> differenza fra esportazioni </w:t>
      </w:r>
      <w:proofErr w:type="spellStart"/>
      <w:r w:rsidR="002252C6" w:rsidRPr="00704B66">
        <w:rPr>
          <w:sz w:val="23"/>
          <w:szCs w:val="23"/>
        </w:rPr>
        <w:t>ed</w:t>
      </w:r>
      <w:proofErr w:type="spellEnd"/>
      <w:r w:rsidR="002252C6" w:rsidRPr="00704B66">
        <w:rPr>
          <w:sz w:val="23"/>
          <w:szCs w:val="23"/>
        </w:rPr>
        <w:t xml:space="preserve"> </w:t>
      </w:r>
      <w:r w:rsidR="00ED5DDE" w:rsidRPr="00704B66">
        <w:rPr>
          <w:sz w:val="23"/>
          <w:szCs w:val="23"/>
        </w:rPr>
        <w:t>importazioni sintetizza un avanzo della bilancia commerciale che tende</w:t>
      </w:r>
      <w:r w:rsidR="001C0EF4" w:rsidRPr="00704B66">
        <w:rPr>
          <w:sz w:val="23"/>
          <w:szCs w:val="23"/>
        </w:rPr>
        <w:t xml:space="preserve"> a </w:t>
      </w:r>
      <w:r w:rsidR="005F7B42" w:rsidRPr="00704B66">
        <w:rPr>
          <w:sz w:val="23"/>
          <w:szCs w:val="23"/>
        </w:rPr>
        <w:t xml:space="preserve">salire, in un anno (da </w:t>
      </w:r>
      <w:r w:rsidR="00704B66" w:rsidRPr="00704B66">
        <w:rPr>
          <w:sz w:val="23"/>
          <w:szCs w:val="23"/>
        </w:rPr>
        <w:t>1,</w:t>
      </w:r>
      <w:r w:rsidR="00D2576C" w:rsidRPr="00704B66">
        <w:rPr>
          <w:sz w:val="23"/>
          <w:szCs w:val="23"/>
        </w:rPr>
        <w:t>8</w:t>
      </w:r>
      <w:r w:rsidR="005F7B42" w:rsidRPr="00704B66">
        <w:rPr>
          <w:sz w:val="23"/>
          <w:szCs w:val="23"/>
        </w:rPr>
        <w:t xml:space="preserve"> a </w:t>
      </w:r>
      <w:r w:rsidR="00704B66" w:rsidRPr="00704B66">
        <w:rPr>
          <w:sz w:val="23"/>
          <w:szCs w:val="23"/>
        </w:rPr>
        <w:t xml:space="preserve">circa </w:t>
      </w:r>
      <w:r w:rsidR="00D2576C" w:rsidRPr="00704B66">
        <w:rPr>
          <w:sz w:val="23"/>
          <w:szCs w:val="23"/>
        </w:rPr>
        <w:t>2</w:t>
      </w:r>
      <w:r w:rsidR="001C0EF4" w:rsidRPr="00704B66">
        <w:rPr>
          <w:sz w:val="23"/>
          <w:szCs w:val="23"/>
        </w:rPr>
        <w:t xml:space="preserve"> miliardi di euro)</w:t>
      </w:r>
      <w:r w:rsidR="00D2576C" w:rsidRPr="00704B66">
        <w:rPr>
          <w:sz w:val="23"/>
          <w:szCs w:val="23"/>
        </w:rPr>
        <w:t>; escludendo il comparto farmaceutico la bilancia commerciale mostrerebbe, in ogni caso, un saldo interessante</w:t>
      </w:r>
      <w:r w:rsidR="00505416" w:rsidRPr="00704B66">
        <w:rPr>
          <w:sz w:val="23"/>
          <w:szCs w:val="23"/>
        </w:rPr>
        <w:t xml:space="preserve"> che non scende</w:t>
      </w:r>
      <w:r w:rsidR="00704B66" w:rsidRPr="00704B66">
        <w:rPr>
          <w:sz w:val="23"/>
          <w:szCs w:val="23"/>
        </w:rPr>
        <w:t xml:space="preserve"> rimanendo intorno ai 2 miliardi</w:t>
      </w:r>
      <w:r w:rsidR="00D2576C" w:rsidRPr="00704B66">
        <w:rPr>
          <w:sz w:val="23"/>
          <w:szCs w:val="23"/>
        </w:rPr>
        <w:t xml:space="preserve">. </w:t>
      </w:r>
    </w:p>
    <w:p w14:paraId="7790071C" w14:textId="0E590600" w:rsidR="00910EA0" w:rsidRDefault="005E0FA4" w:rsidP="00805D3E">
      <w:pPr>
        <w:spacing w:after="0" w:line="240" w:lineRule="auto"/>
        <w:jc w:val="both"/>
        <w:rPr>
          <w:sz w:val="24"/>
        </w:rPr>
      </w:pPr>
      <w:r w:rsidRPr="005E0FA4">
        <w:rPr>
          <w:noProof/>
          <w:lang w:eastAsia="it-IT"/>
        </w:rPr>
        <w:drawing>
          <wp:anchor distT="0" distB="0" distL="114300" distR="114300" simplePos="0" relativeHeight="251743232" behindDoc="1" locked="0" layoutInCell="1" allowOverlap="1" wp14:anchorId="744F5E30" wp14:editId="58C156ED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43662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32" y="21416"/>
                <wp:lineTo x="21432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65">
        <w:t>Osservando l’articolazione per settore di attività,</w:t>
      </w:r>
      <w:r w:rsidR="003E7036" w:rsidRPr="006D45CD">
        <w:rPr>
          <w:sz w:val="24"/>
        </w:rPr>
        <w:t xml:space="preserve"> </w:t>
      </w:r>
      <w:r w:rsidR="0096743B" w:rsidRPr="006D45CD">
        <w:rPr>
          <w:sz w:val="24"/>
        </w:rPr>
        <w:t xml:space="preserve">tanto </w:t>
      </w:r>
      <w:r w:rsidR="003E7036" w:rsidRPr="006D45CD">
        <w:rPr>
          <w:sz w:val="24"/>
        </w:rPr>
        <w:t>pe</w:t>
      </w:r>
      <w:r w:rsidR="002C35B2" w:rsidRPr="006D45CD">
        <w:rPr>
          <w:sz w:val="24"/>
        </w:rPr>
        <w:t xml:space="preserve">r le esportazioni </w:t>
      </w:r>
      <w:r w:rsidR="0096743B" w:rsidRPr="006D45CD">
        <w:rPr>
          <w:sz w:val="24"/>
        </w:rPr>
        <w:t xml:space="preserve">quanto per le importazioni continua a risultare </w:t>
      </w:r>
      <w:r w:rsidR="00874365">
        <w:rPr>
          <w:sz w:val="24"/>
        </w:rPr>
        <w:t xml:space="preserve">decisivo </w:t>
      </w:r>
      <w:r w:rsidR="00D912E9" w:rsidRPr="006D45CD">
        <w:rPr>
          <w:sz w:val="24"/>
        </w:rPr>
        <w:t>il</w:t>
      </w:r>
      <w:r w:rsidR="0096743B" w:rsidRPr="006D45CD">
        <w:rPr>
          <w:sz w:val="24"/>
        </w:rPr>
        <w:t xml:space="preserve"> peso del comparto farmaceutico, il </w:t>
      </w:r>
      <w:r w:rsidR="00874365">
        <w:rPr>
          <w:sz w:val="24"/>
        </w:rPr>
        <w:t>cui</w:t>
      </w:r>
      <w:r w:rsidR="00C040A1">
        <w:rPr>
          <w:sz w:val="24"/>
        </w:rPr>
        <w:t xml:space="preserve"> valore esportato cresce</w:t>
      </w:r>
      <w:r>
        <w:rPr>
          <w:sz w:val="24"/>
        </w:rPr>
        <w:t xml:space="preserve"> ben del 178</w:t>
      </w:r>
      <w:r w:rsidR="00874365">
        <w:rPr>
          <w:sz w:val="24"/>
        </w:rPr>
        <w:t xml:space="preserve">% </w:t>
      </w:r>
      <w:r w:rsidR="0096743B" w:rsidRPr="006D45CD">
        <w:rPr>
          <w:sz w:val="24"/>
        </w:rPr>
        <w:t>rispetto allo stes</w:t>
      </w:r>
      <w:r w:rsidR="00874365">
        <w:rPr>
          <w:sz w:val="24"/>
        </w:rPr>
        <w:t>so periodo dell’anno precedente, con un aumento</w:t>
      </w:r>
      <w:r w:rsidR="0096743B" w:rsidRPr="006D45CD">
        <w:rPr>
          <w:sz w:val="24"/>
        </w:rPr>
        <w:t xml:space="preserve"> </w:t>
      </w:r>
      <w:r w:rsidR="00874365">
        <w:rPr>
          <w:sz w:val="24"/>
        </w:rPr>
        <w:t>del</w:t>
      </w:r>
      <w:r w:rsidR="0096743B" w:rsidRPr="006D45CD">
        <w:rPr>
          <w:sz w:val="24"/>
        </w:rPr>
        <w:t xml:space="preserve">la quota di </w:t>
      </w:r>
      <w:r w:rsidR="00D912E9" w:rsidRPr="006D45CD">
        <w:rPr>
          <w:sz w:val="24"/>
        </w:rPr>
        <w:t xml:space="preserve">incidenza sul totale di </w:t>
      </w:r>
      <w:r w:rsidR="00924387">
        <w:rPr>
          <w:sz w:val="24"/>
        </w:rPr>
        <w:t xml:space="preserve">ben </w:t>
      </w:r>
      <w:r>
        <w:rPr>
          <w:sz w:val="24"/>
        </w:rPr>
        <w:t>2</w:t>
      </w:r>
      <w:r w:rsidR="00924387">
        <w:rPr>
          <w:sz w:val="24"/>
        </w:rPr>
        <w:t>0</w:t>
      </w:r>
      <w:r w:rsidR="00D912E9" w:rsidRPr="006D45CD">
        <w:rPr>
          <w:sz w:val="24"/>
        </w:rPr>
        <w:t xml:space="preserve"> punti</w:t>
      </w:r>
      <w:r w:rsidR="0096743B" w:rsidRPr="006D45CD">
        <w:rPr>
          <w:sz w:val="24"/>
        </w:rPr>
        <w:t xml:space="preserve"> percentuali</w:t>
      </w:r>
      <w:r w:rsidR="00D912E9" w:rsidRPr="006D45CD">
        <w:rPr>
          <w:sz w:val="24"/>
        </w:rPr>
        <w:t xml:space="preserve"> collocandosi al </w:t>
      </w:r>
      <w:r>
        <w:rPr>
          <w:sz w:val="24"/>
        </w:rPr>
        <w:t>49,1</w:t>
      </w:r>
      <w:r w:rsidR="00D912E9" w:rsidRPr="006D45CD">
        <w:rPr>
          <w:sz w:val="24"/>
        </w:rPr>
        <w:t>% in termini di peso percentuale</w:t>
      </w:r>
      <w:r w:rsidR="0088290A">
        <w:rPr>
          <w:sz w:val="24"/>
        </w:rPr>
        <w:t xml:space="preserve"> per un valore (come si è già detto) di </w:t>
      </w:r>
      <w:r>
        <w:rPr>
          <w:sz w:val="24"/>
        </w:rPr>
        <w:t>3,5</w:t>
      </w:r>
      <w:r w:rsidR="0088290A">
        <w:rPr>
          <w:sz w:val="24"/>
        </w:rPr>
        <w:t xml:space="preserve"> miliardi di euro all’incirca</w:t>
      </w:r>
      <w:r>
        <w:rPr>
          <w:sz w:val="24"/>
        </w:rPr>
        <w:t xml:space="preserve">. </w:t>
      </w:r>
      <w:r w:rsidR="00D912E9" w:rsidRPr="006D45CD">
        <w:rPr>
          <w:sz w:val="24"/>
        </w:rPr>
        <w:t xml:space="preserve"> </w:t>
      </w:r>
      <w:r>
        <w:rPr>
          <w:sz w:val="24"/>
        </w:rPr>
        <w:t>P</w:t>
      </w:r>
      <w:r w:rsidR="00D912E9" w:rsidRPr="006D45CD">
        <w:rPr>
          <w:sz w:val="24"/>
        </w:rPr>
        <w:t xml:space="preserve">er le importazioni </w:t>
      </w:r>
      <w:r w:rsidR="00E359A7" w:rsidRPr="006D45CD">
        <w:rPr>
          <w:sz w:val="24"/>
        </w:rPr>
        <w:t>la</w:t>
      </w:r>
      <w:r w:rsidR="00D912E9" w:rsidRPr="006D45CD">
        <w:rPr>
          <w:sz w:val="24"/>
        </w:rPr>
        <w:t xml:space="preserve"> crescita </w:t>
      </w:r>
      <w:r w:rsidR="001D2D60">
        <w:rPr>
          <w:sz w:val="24"/>
        </w:rPr>
        <w:t>dello stesso tenore (+</w:t>
      </w:r>
      <w:r>
        <w:rPr>
          <w:sz w:val="24"/>
        </w:rPr>
        <w:t>58</w:t>
      </w:r>
      <w:r w:rsidR="00D912E9" w:rsidRPr="006D45CD">
        <w:rPr>
          <w:sz w:val="24"/>
        </w:rPr>
        <w:t>%</w:t>
      </w:r>
      <w:r w:rsidR="00E359A7" w:rsidRPr="006D45CD">
        <w:rPr>
          <w:sz w:val="24"/>
        </w:rPr>
        <w:t xml:space="preserve"> per i prodotti farmaceutici di bas</w:t>
      </w:r>
      <w:r>
        <w:rPr>
          <w:sz w:val="24"/>
        </w:rPr>
        <w:t>e e oltre il +400%, ma di peso inferiore, per i farmaceutici elaborati</w:t>
      </w:r>
      <w:r w:rsidR="00D912E9" w:rsidRPr="006D45CD">
        <w:rPr>
          <w:sz w:val="24"/>
        </w:rPr>
        <w:t xml:space="preserve">) e </w:t>
      </w:r>
      <w:r w:rsidR="001D2D60">
        <w:rPr>
          <w:sz w:val="24"/>
        </w:rPr>
        <w:t xml:space="preserve">la quota che si attesta sulle importazioni totali, a circa il </w:t>
      </w:r>
      <w:r>
        <w:rPr>
          <w:sz w:val="24"/>
        </w:rPr>
        <w:t>61</w:t>
      </w:r>
      <w:r w:rsidR="001D2D60">
        <w:rPr>
          <w:sz w:val="24"/>
        </w:rPr>
        <w:t>%</w:t>
      </w:r>
      <w:r w:rsidR="00A87DCA">
        <w:rPr>
          <w:sz w:val="24"/>
        </w:rPr>
        <w:t xml:space="preserve"> </w:t>
      </w:r>
      <w:r w:rsidR="001D2D60">
        <w:rPr>
          <w:sz w:val="24"/>
        </w:rPr>
        <w:t xml:space="preserve">coprendo, quindi, </w:t>
      </w:r>
      <w:r w:rsidR="00E359A7" w:rsidRPr="006D45CD">
        <w:rPr>
          <w:sz w:val="24"/>
        </w:rPr>
        <w:t>più della metà delle</w:t>
      </w:r>
      <w:r w:rsidR="00106F08" w:rsidRPr="006D45CD">
        <w:rPr>
          <w:sz w:val="24"/>
        </w:rPr>
        <w:t xml:space="preserve"> importazioni</w:t>
      </w:r>
      <w:r w:rsidR="001D2D60">
        <w:rPr>
          <w:sz w:val="24"/>
        </w:rPr>
        <w:t xml:space="preserve"> (circa </w:t>
      </w:r>
      <w:r>
        <w:rPr>
          <w:sz w:val="24"/>
        </w:rPr>
        <w:t>3,2</w:t>
      </w:r>
      <w:r w:rsidR="00E359A7" w:rsidRPr="006D45CD">
        <w:rPr>
          <w:sz w:val="24"/>
        </w:rPr>
        <w:t xml:space="preserve"> miliardi)</w:t>
      </w:r>
      <w:r w:rsidR="00106F08" w:rsidRPr="006D45CD">
        <w:rPr>
          <w:sz w:val="24"/>
        </w:rPr>
        <w:t xml:space="preserve">. </w:t>
      </w:r>
      <w:r w:rsidR="00A87DCA">
        <w:rPr>
          <w:sz w:val="24"/>
        </w:rPr>
        <w:t>Chiaramente il comparto è rigorosamente</w:t>
      </w:r>
      <w:r w:rsidR="00106F08" w:rsidRPr="006D45CD">
        <w:rPr>
          <w:sz w:val="24"/>
        </w:rPr>
        <w:t xml:space="preserve"> </w:t>
      </w:r>
      <w:r w:rsidR="00A87DCA">
        <w:rPr>
          <w:sz w:val="24"/>
        </w:rPr>
        <w:t xml:space="preserve">collegato </w:t>
      </w:r>
      <w:r w:rsidR="00106F08" w:rsidRPr="006D45CD">
        <w:rPr>
          <w:sz w:val="24"/>
        </w:rPr>
        <w:t xml:space="preserve">al </w:t>
      </w:r>
      <w:r w:rsidR="00E359A7" w:rsidRPr="006D45CD">
        <w:rPr>
          <w:sz w:val="24"/>
        </w:rPr>
        <w:t xml:space="preserve">più volte richiamato </w:t>
      </w:r>
      <w:r w:rsidR="00106F08" w:rsidRPr="006D45CD">
        <w:rPr>
          <w:sz w:val="24"/>
        </w:rPr>
        <w:t>traffico di perfezionamento, (ovvero</w:t>
      </w:r>
      <w:r w:rsidR="00D346D3" w:rsidRPr="006D45CD">
        <w:rPr>
          <w:sz w:val="24"/>
        </w:rPr>
        <w:t xml:space="preserve"> </w:t>
      </w:r>
      <w:r w:rsidR="00106F08" w:rsidRPr="006D45CD">
        <w:rPr>
          <w:sz w:val="24"/>
        </w:rPr>
        <w:t>import/</w:t>
      </w:r>
      <w:proofErr w:type="gramStart"/>
      <w:r w:rsidR="00106F08" w:rsidRPr="006D45CD">
        <w:rPr>
          <w:sz w:val="24"/>
        </w:rPr>
        <w:t>export</w:t>
      </w:r>
      <w:r w:rsidR="00D346D3" w:rsidRPr="006D45CD">
        <w:rPr>
          <w:sz w:val="24"/>
        </w:rPr>
        <w:t xml:space="preserve"> </w:t>
      </w:r>
      <w:r w:rsidR="00106F08" w:rsidRPr="006D45CD">
        <w:rPr>
          <w:sz w:val="24"/>
        </w:rPr>
        <w:t xml:space="preserve"> infragruppo</w:t>
      </w:r>
      <w:proofErr w:type="gramEnd"/>
      <w:r w:rsidR="00106F08" w:rsidRPr="006D45CD">
        <w:rPr>
          <w:sz w:val="24"/>
        </w:rPr>
        <w:t xml:space="preserve"> </w:t>
      </w:r>
      <w:r w:rsidR="00D346D3" w:rsidRPr="006D45CD">
        <w:rPr>
          <w:sz w:val="24"/>
        </w:rPr>
        <w:t xml:space="preserve">temporanei </w:t>
      </w:r>
      <w:r w:rsidR="00106F08" w:rsidRPr="006D45CD">
        <w:rPr>
          <w:sz w:val="24"/>
        </w:rPr>
        <w:t xml:space="preserve">finalizzati </w:t>
      </w:r>
      <w:r w:rsidR="00D346D3" w:rsidRPr="006D45CD">
        <w:rPr>
          <w:sz w:val="24"/>
        </w:rPr>
        <w:t>alla lavorazione o alla trasformazione di merci)</w:t>
      </w:r>
      <w:r w:rsidR="0088290A">
        <w:rPr>
          <w:sz w:val="24"/>
        </w:rPr>
        <w:t xml:space="preserve"> questo aumento in valore (ma anche in volume) molto forte dell’interscambio dovrebbe esser legato </w:t>
      </w:r>
      <w:r w:rsidR="00CC300A">
        <w:rPr>
          <w:sz w:val="24"/>
        </w:rPr>
        <w:t xml:space="preserve">alla massimizzazione delle operazioni di commercio internazionale prima </w:t>
      </w:r>
      <w:r>
        <w:rPr>
          <w:sz w:val="24"/>
        </w:rPr>
        <w:t xml:space="preserve">dell’annuncio del presidente USA nel corso del </w:t>
      </w:r>
      <w:proofErr w:type="spellStart"/>
      <w:r>
        <w:rPr>
          <w:sz w:val="24"/>
        </w:rPr>
        <w:t>liberation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 w:rsidR="00D346D3" w:rsidRPr="006D45CD">
        <w:rPr>
          <w:sz w:val="24"/>
        </w:rPr>
        <w:t xml:space="preserve">. </w:t>
      </w:r>
      <w:r w:rsidR="00805D3E" w:rsidRPr="00805D3E">
        <w:rPr>
          <w:sz w:val="24"/>
        </w:rPr>
        <w:t xml:space="preserve">Al contrario, settori tradizionali del Made in </w:t>
      </w:r>
      <w:proofErr w:type="spellStart"/>
      <w:r w:rsidR="00805D3E" w:rsidRPr="00805D3E">
        <w:rPr>
          <w:sz w:val="24"/>
        </w:rPr>
        <w:t>Italy</w:t>
      </w:r>
      <w:proofErr w:type="spellEnd"/>
      <w:r w:rsidR="00805D3E" w:rsidRPr="00805D3E">
        <w:rPr>
          <w:sz w:val="24"/>
        </w:rPr>
        <w:t xml:space="preserve">, come la </w:t>
      </w:r>
      <w:r w:rsidR="00805D3E" w:rsidRPr="00805D3E">
        <w:rPr>
          <w:sz w:val="24"/>
        </w:rPr>
        <w:lastRenderedPageBreak/>
        <w:t>pelletteria (-25,3%), l'abbigliamento (-31,5%) e le calzature (-23,9%), mostrano un calo significativo delle esportazioni nel 2025 rispetto al 2024. Questa flessione potrebbe essere attribuita a diversi fattori:</w:t>
      </w:r>
      <w:r w:rsidR="00805D3E">
        <w:rPr>
          <w:sz w:val="24"/>
        </w:rPr>
        <w:t xml:space="preserve"> u</w:t>
      </w:r>
      <w:r w:rsidR="00805D3E" w:rsidRPr="00805D3E">
        <w:rPr>
          <w:sz w:val="24"/>
        </w:rPr>
        <w:t xml:space="preserve">n generale rallentamento dell'economia mondiale </w:t>
      </w:r>
      <w:r w:rsidR="00805D3E">
        <w:rPr>
          <w:sz w:val="24"/>
        </w:rPr>
        <w:t>c</w:t>
      </w:r>
      <w:r w:rsidR="00805D3E" w:rsidRPr="00805D3E">
        <w:rPr>
          <w:sz w:val="24"/>
        </w:rPr>
        <w:t>o</w:t>
      </w:r>
      <w:r w:rsidR="00805D3E">
        <w:rPr>
          <w:sz w:val="24"/>
        </w:rPr>
        <w:t>n</w:t>
      </w:r>
      <w:r w:rsidR="00805D3E" w:rsidRPr="00805D3E">
        <w:rPr>
          <w:sz w:val="24"/>
        </w:rPr>
        <w:t xml:space="preserve"> una minore spesa discrezionale dei consumatori</w:t>
      </w:r>
      <w:r w:rsidR="00805D3E">
        <w:rPr>
          <w:sz w:val="24"/>
        </w:rPr>
        <w:t>, legata al cambio di abitudini di acquisto</w:t>
      </w:r>
      <w:r w:rsidR="00805D3E" w:rsidRPr="00805D3E">
        <w:rPr>
          <w:sz w:val="24"/>
        </w:rPr>
        <w:t xml:space="preserve"> po</w:t>
      </w:r>
      <w:r w:rsidR="00805D3E">
        <w:rPr>
          <w:sz w:val="24"/>
        </w:rPr>
        <w:t>trebbero</w:t>
      </w:r>
      <w:r w:rsidR="00805D3E" w:rsidRPr="00805D3E">
        <w:rPr>
          <w:sz w:val="24"/>
        </w:rPr>
        <w:t xml:space="preserve"> impattare negativamente i beni di lusso e di moda</w:t>
      </w:r>
      <w:r w:rsidR="00805D3E">
        <w:rPr>
          <w:sz w:val="24"/>
        </w:rPr>
        <w:t>; le forti tensioni geopolitiche; l</w:t>
      </w:r>
      <w:r w:rsidR="00805D3E" w:rsidRPr="00805D3E">
        <w:rPr>
          <w:sz w:val="24"/>
        </w:rPr>
        <w:t>'aumento dei costi di produzione e dell'energia, pur avendo avuto un impatto più marcato nel 2023-2024, potrebbe ancora incidere sulla competitività dei prezzi</w:t>
      </w:r>
      <w:r w:rsidR="00805D3E">
        <w:rPr>
          <w:sz w:val="24"/>
        </w:rPr>
        <w:t>; le d</w:t>
      </w:r>
      <w:r w:rsidR="00805D3E" w:rsidRPr="00805D3E">
        <w:rPr>
          <w:sz w:val="24"/>
        </w:rPr>
        <w:t xml:space="preserve">ifficoltà o ricalibrazioni </w:t>
      </w:r>
      <w:r w:rsidR="00805D3E">
        <w:rPr>
          <w:sz w:val="24"/>
        </w:rPr>
        <w:t xml:space="preserve">strategiche </w:t>
      </w:r>
      <w:r w:rsidR="00805D3E" w:rsidRPr="00805D3E">
        <w:rPr>
          <w:sz w:val="24"/>
        </w:rPr>
        <w:t>nelle catene di approvvigionamento globali</w:t>
      </w:r>
      <w:r w:rsidR="00805D3E">
        <w:rPr>
          <w:sz w:val="24"/>
        </w:rPr>
        <w:t xml:space="preserve">. </w:t>
      </w:r>
      <w:r w:rsidR="00805D3E" w:rsidRPr="00805D3E">
        <w:rPr>
          <w:sz w:val="24"/>
        </w:rPr>
        <w:t xml:space="preserve">Interessante notare la performance positiva delle </w:t>
      </w:r>
      <w:r w:rsidR="00805D3E">
        <w:rPr>
          <w:sz w:val="24"/>
        </w:rPr>
        <w:t>m</w:t>
      </w:r>
      <w:r w:rsidR="00805D3E" w:rsidRPr="00805D3E">
        <w:rPr>
          <w:sz w:val="24"/>
        </w:rPr>
        <w:t xml:space="preserve">acchine di impiego generale (+16,9%), che evidenzia </w:t>
      </w:r>
      <w:r w:rsidR="00805D3E">
        <w:rPr>
          <w:sz w:val="24"/>
        </w:rPr>
        <w:t>una certa capacità di</w:t>
      </w:r>
      <w:r w:rsidR="00805D3E" w:rsidRPr="00805D3E">
        <w:rPr>
          <w:sz w:val="24"/>
        </w:rPr>
        <w:t xml:space="preserve"> </w:t>
      </w:r>
      <w:r w:rsidR="00805D3E">
        <w:rPr>
          <w:sz w:val="24"/>
        </w:rPr>
        <w:t>“</w:t>
      </w:r>
      <w:r w:rsidR="00805D3E" w:rsidRPr="00805D3E">
        <w:rPr>
          <w:sz w:val="24"/>
        </w:rPr>
        <w:t>resilienza</w:t>
      </w:r>
      <w:r w:rsidR="00805D3E">
        <w:rPr>
          <w:sz w:val="24"/>
        </w:rPr>
        <w:t>”</w:t>
      </w:r>
      <w:r w:rsidR="00805D3E" w:rsidRPr="00805D3E">
        <w:rPr>
          <w:sz w:val="24"/>
        </w:rPr>
        <w:t xml:space="preserve"> del settore della meccanica strumentale, probabilmente legata a investimenti in automazione e digitalizzazione a livello globale</w:t>
      </w:r>
      <w:r w:rsidR="00805D3E">
        <w:rPr>
          <w:sz w:val="24"/>
        </w:rPr>
        <w:t xml:space="preserve">; discreto aumento anche per il comparto bevande (vini) con un +7,6%. Le dinamiche positive rilevate per il </w:t>
      </w:r>
      <w:r w:rsidR="00805D3E" w:rsidRPr="005E0FA4">
        <w:rPr>
          <w:noProof/>
          <w:lang w:eastAsia="it-IT"/>
        </w:rPr>
        <w:drawing>
          <wp:anchor distT="0" distB="0" distL="114300" distR="114300" simplePos="0" relativeHeight="251744256" behindDoc="0" locked="0" layoutInCell="1" allowOverlap="1" wp14:anchorId="17A7227C" wp14:editId="58568673">
            <wp:simplePos x="0" y="0"/>
            <wp:positionH relativeFrom="column">
              <wp:posOffset>2411730</wp:posOffset>
            </wp:positionH>
            <wp:positionV relativeFrom="paragraph">
              <wp:posOffset>2143125</wp:posOffset>
            </wp:positionV>
            <wp:extent cx="3985260" cy="268986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3E">
        <w:rPr>
          <w:sz w:val="24"/>
        </w:rPr>
        <w:t>farmaceutico, la meccanica strumentale e i vini sono risultate esser fortemente correlate all’andamento crescente del mercato statunitense.</w:t>
      </w:r>
      <w:r w:rsidR="00910EA0">
        <w:rPr>
          <w:sz w:val="24"/>
        </w:rPr>
        <w:t xml:space="preserve"> </w:t>
      </w:r>
    </w:p>
    <w:p w14:paraId="2602D6F2" w14:textId="03ABE8DB" w:rsidR="00805D3E" w:rsidRPr="00D56C57" w:rsidRDefault="00805D3E" w:rsidP="00805D3E">
      <w:pPr>
        <w:spacing w:after="0" w:line="240" w:lineRule="auto"/>
        <w:jc w:val="both"/>
        <w:rPr>
          <w:sz w:val="23"/>
          <w:szCs w:val="23"/>
        </w:rPr>
      </w:pPr>
      <w:r w:rsidRPr="00D56C57">
        <w:rPr>
          <w:sz w:val="23"/>
          <w:szCs w:val="23"/>
        </w:rPr>
        <w:t xml:space="preserve">Le importazioni presentano un quadro altrettanto focalizzato sul settore farmaceutico: come si è già anticipato i prodotti farmaceutici di base costituiscono la quota maggiore (61,4%) delle importazioni e registrano una crescita robusta del 58,5%. I prodotti farmaceutici elaborati (pur presentando una minor quota) mostrano addirittura un'impennata del 475,76%, suggerendo una forte dipendenza dall'estero per le materie prime e i prodotti intermedi necessari all'industria farmaceutica locale, probabilmente per sostenere l'elevata produzione esportata. Anche nelle importazioni, settori come la pelletteria (-12,74%) e le calzature (-11,29%) registrano cali, indicando una diminuzione complessiva dell'attività in queste filiere. Tuttavia si evidenzia l’incremento dell’import di meccanica strumentale (+9,1%), dei prodotti chimici di base (+2,1%), degli strumenti biomedicali (+30%) e degli articoli in gomma (+103,2%). </w:t>
      </w:r>
    </w:p>
    <w:p w14:paraId="5D347310" w14:textId="484D3B61" w:rsidR="00805D3E" w:rsidRPr="00D56C57" w:rsidRDefault="00756B9C" w:rsidP="00805D3E">
      <w:pPr>
        <w:spacing w:after="0" w:line="240" w:lineRule="auto"/>
        <w:jc w:val="both"/>
        <w:rPr>
          <w:sz w:val="23"/>
          <w:szCs w:val="23"/>
        </w:rPr>
      </w:pPr>
      <w:r w:rsidRPr="00D56C57">
        <w:rPr>
          <w:noProof/>
          <w:sz w:val="23"/>
          <w:szCs w:val="23"/>
          <w:lang w:eastAsia="it-IT"/>
        </w:rPr>
        <w:drawing>
          <wp:anchor distT="0" distB="0" distL="114300" distR="114300" simplePos="0" relativeHeight="251745280" behindDoc="0" locked="0" layoutInCell="1" allowOverlap="1" wp14:anchorId="572482A6" wp14:editId="791B8D73">
            <wp:simplePos x="0" y="0"/>
            <wp:positionH relativeFrom="column">
              <wp:posOffset>-133350</wp:posOffset>
            </wp:positionH>
            <wp:positionV relativeFrom="paragraph">
              <wp:posOffset>6985</wp:posOffset>
            </wp:positionV>
            <wp:extent cx="4008120" cy="2514600"/>
            <wp:effectExtent l="0" t="0" r="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95" w:rsidRPr="00D56C57">
        <w:rPr>
          <w:sz w:val="23"/>
          <w:szCs w:val="23"/>
        </w:rPr>
        <w:t>Sul fronte dei paesi partner per le esportazioni, gli Stati Uniti rimangono il principale mercato (</w:t>
      </w:r>
      <w:r w:rsidRPr="00D56C57">
        <w:rPr>
          <w:sz w:val="23"/>
          <w:szCs w:val="23"/>
        </w:rPr>
        <w:t xml:space="preserve">quota </w:t>
      </w:r>
      <w:r w:rsidR="00297695" w:rsidRPr="00D56C57">
        <w:rPr>
          <w:sz w:val="23"/>
          <w:szCs w:val="23"/>
        </w:rPr>
        <w:t>26,9%), con una crescita notevole del 32,</w:t>
      </w:r>
      <w:r w:rsidRPr="00D56C57">
        <w:rPr>
          <w:sz w:val="23"/>
          <w:szCs w:val="23"/>
        </w:rPr>
        <w:t>8</w:t>
      </w:r>
      <w:r w:rsidR="00297695" w:rsidRPr="00D56C57">
        <w:rPr>
          <w:sz w:val="23"/>
          <w:szCs w:val="23"/>
        </w:rPr>
        <w:t xml:space="preserve">% nel 2025. </w:t>
      </w:r>
      <w:r w:rsidRPr="00D56C57">
        <w:rPr>
          <w:sz w:val="23"/>
          <w:szCs w:val="23"/>
        </w:rPr>
        <w:t>Ciò evidenzia proprio la tendenza a massimizzare l’export verso questo mercato prima del reale arrivo dei dazi</w:t>
      </w:r>
      <w:r w:rsidR="00631A9D" w:rsidRPr="00D56C57">
        <w:rPr>
          <w:sz w:val="23"/>
          <w:szCs w:val="23"/>
        </w:rPr>
        <w:t>: da notare che oltre all’apporto positivo di farmaceutica, meccanica e vini si segnala la crescita delle calzature (+14%) e di una contrazione meno marcata della pelletteria (-9%) per il mercato statunitense</w:t>
      </w:r>
      <w:r w:rsidR="00297695" w:rsidRPr="00D56C57">
        <w:rPr>
          <w:sz w:val="23"/>
          <w:szCs w:val="23"/>
        </w:rPr>
        <w:t xml:space="preserve">. Regno Unito e Spagna mostrano crescite eccezionali (rispettivamente +218,73% e +237,04%), potenzialmente legate a dinamiche post-Brexit per il Regno Unito e a una ripresa economica più marcata in Spagna. La crescita </w:t>
      </w:r>
      <w:r w:rsidR="00297695" w:rsidRPr="00D56C57">
        <w:rPr>
          <w:sz w:val="23"/>
          <w:szCs w:val="23"/>
        </w:rPr>
        <w:lastRenderedPageBreak/>
        <w:t>della Repubblica Ceca (+1140,56%) è</w:t>
      </w:r>
      <w:r w:rsidR="00074CA0" w:rsidRPr="00D56C57">
        <w:rPr>
          <w:sz w:val="23"/>
          <w:szCs w:val="23"/>
        </w:rPr>
        <w:t xml:space="preserve"> esclusivamente ascrivibile al comparto farmaceutico (con poco meno di 200 milioni di valore esportato)</w:t>
      </w:r>
      <w:r w:rsidR="00297695" w:rsidRPr="00D56C57">
        <w:rPr>
          <w:sz w:val="23"/>
          <w:szCs w:val="23"/>
        </w:rPr>
        <w:t>. La Cina, al contrario, registra un calo delle esportazioni del -4,</w:t>
      </w:r>
      <w:r w:rsidRPr="00D56C57">
        <w:rPr>
          <w:sz w:val="23"/>
          <w:szCs w:val="23"/>
        </w:rPr>
        <w:t>9</w:t>
      </w:r>
      <w:r w:rsidR="00297695" w:rsidRPr="00D56C57">
        <w:rPr>
          <w:sz w:val="23"/>
          <w:szCs w:val="23"/>
        </w:rPr>
        <w:t>%, indicando un rallentamento della domanda cinese per i prodotti fiorentini</w:t>
      </w:r>
      <w:r w:rsidRPr="00D56C57">
        <w:rPr>
          <w:sz w:val="23"/>
          <w:szCs w:val="23"/>
        </w:rPr>
        <w:t>, che sarà oggetto di osservazione nei prossimi trimestri</w:t>
      </w:r>
      <w:r w:rsidR="00074CA0" w:rsidRPr="00D56C57">
        <w:rPr>
          <w:sz w:val="23"/>
          <w:szCs w:val="23"/>
        </w:rPr>
        <w:t xml:space="preserve">. In pratica le direttrici del farmaceutico possono essere sintetizzate con riferimento a: Stati Uniti (quota del </w:t>
      </w:r>
      <w:r w:rsidR="00FD1F9E" w:rsidRPr="00D56C57">
        <w:rPr>
          <w:sz w:val="23"/>
          <w:szCs w:val="23"/>
        </w:rPr>
        <w:t xml:space="preserve">32,1%); Francia (quota del 21,2%); Regno Unito (quota del 15,4%); Spagna (9,4%); Germania (6,8%); Repubblica Ceca (5,3%). </w:t>
      </w:r>
    </w:p>
    <w:p w14:paraId="071E971B" w14:textId="1A683626" w:rsidR="00A70756" w:rsidRPr="00F71D3B" w:rsidRDefault="00906120" w:rsidP="00FD1F9E">
      <w:pPr>
        <w:spacing w:after="0" w:line="240" w:lineRule="auto"/>
        <w:jc w:val="both"/>
        <w:rPr>
          <w:sz w:val="23"/>
          <w:szCs w:val="23"/>
        </w:rPr>
      </w:pPr>
      <w:r w:rsidRPr="00F71D3B">
        <w:rPr>
          <w:noProof/>
          <w:sz w:val="23"/>
          <w:szCs w:val="23"/>
          <w:lang w:eastAsia="it-IT"/>
        </w:rPr>
        <w:drawing>
          <wp:anchor distT="0" distB="0" distL="114300" distR="114300" simplePos="0" relativeHeight="251746304" behindDoc="0" locked="0" layoutInCell="1" allowOverlap="1" wp14:anchorId="0C0CF371" wp14:editId="75F24BB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749040" cy="2514600"/>
            <wp:effectExtent l="0" t="0" r="381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506" w:rsidRPr="00F71D3B">
        <w:rPr>
          <w:noProof/>
          <w:sz w:val="23"/>
          <w:szCs w:val="23"/>
          <w:lang w:eastAsia="it-IT"/>
        </w:rPr>
        <w:t xml:space="preserve">Considerando </w:t>
      </w:r>
      <w:r w:rsidR="001F0AF8" w:rsidRPr="00F71D3B">
        <w:rPr>
          <w:sz w:val="23"/>
          <w:szCs w:val="23"/>
        </w:rPr>
        <w:t xml:space="preserve">i principali paesi partner </w:t>
      </w:r>
      <w:r w:rsidR="00B46B51" w:rsidRPr="00F71D3B">
        <w:rPr>
          <w:sz w:val="23"/>
          <w:szCs w:val="23"/>
        </w:rPr>
        <w:t>segnaliamo come la Cina domini incontrastata, rappresentando il 43% del totale</w:t>
      </w:r>
      <w:r w:rsidR="00CC0927" w:rsidRPr="00F71D3B">
        <w:rPr>
          <w:sz w:val="23"/>
          <w:szCs w:val="23"/>
        </w:rPr>
        <w:t>; il dato è comunque legato al ruolo del farmaceutico anche negli acquisti di input dal gigante cinese</w:t>
      </w:r>
      <w:r w:rsidR="00B46B51" w:rsidRPr="00F71D3B">
        <w:rPr>
          <w:sz w:val="23"/>
          <w:szCs w:val="23"/>
        </w:rPr>
        <w:t>. Gli Stati Uniti, pur essendo un partner importante per le importazioni, registrano un calo del -46,46%, mentre l'Irlanda mostra una crescita notevole (+47,43%), legata all'importazione di prodotti farmaceutici, data la presenza di importanti hub farmaceutici in Irlanda.</w:t>
      </w:r>
      <w:r w:rsidR="00CC0927" w:rsidRPr="00F71D3B">
        <w:rPr>
          <w:sz w:val="23"/>
          <w:szCs w:val="23"/>
        </w:rPr>
        <w:t xml:space="preserve"> Per l’acquisto degli input farmaceutici abbiamo quindi il dominio di Cina, Stati Uniti, Irlanda, Germania e Regno Unito.</w:t>
      </w:r>
    </w:p>
    <w:p w14:paraId="2337FE87" w14:textId="2AC57686" w:rsidR="00CC0927" w:rsidRDefault="00CC0927" w:rsidP="00D56C57">
      <w:pPr>
        <w:spacing w:after="0" w:line="240" w:lineRule="auto"/>
        <w:jc w:val="both"/>
      </w:pPr>
      <w:bookmarkStart w:id="0" w:name="_GoBack"/>
      <w:bookmarkEnd w:id="0"/>
      <w:r w:rsidRPr="00D56C57">
        <w:t xml:space="preserve">A parte il farmaceutico, l’attuale esposizione estera della nostra provincia genera qualche perplessità e preoccupazione, visto che gli unici settori in positivo sono sostanzialmente due (meccanica e vini) e pure legati alla direttrice temporanea delle vendite negli Stati Uniti; situazione di stallo quindi legata alla congiuntura internazionale (dazi, domanda globale e incertezza geopolitica molto forte) che non aiuta, generando ancora più incertezza. I settori tradizionali del Made in </w:t>
      </w:r>
      <w:proofErr w:type="spellStart"/>
      <w:r w:rsidRPr="00D56C57">
        <w:t>Italy</w:t>
      </w:r>
      <w:proofErr w:type="spellEnd"/>
      <w:r w:rsidRPr="00D56C57">
        <w:t xml:space="preserve"> continuano a mostrare segnali di difficoltà, richiedendo strategie mirate e tuttora di difficile definizione e articolazione in termini di politiche; </w:t>
      </w:r>
      <w:r w:rsidR="00ED1514" w:rsidRPr="00D56C57">
        <w:t>non dimentichiamo che il ruolo della domanda globale e di un generale cambio di abitudini di acquisto impatta fortemente sul prodotto moda</w:t>
      </w:r>
      <w:r w:rsidR="00520D46" w:rsidRPr="00D56C57">
        <w:t xml:space="preserve"> (minore potere d'acquisto e cambiamento nelle priorità di spesa dei consumatori nazionali e internazionali.)</w:t>
      </w:r>
      <w:r w:rsidR="00ED1514" w:rsidRPr="00D56C57">
        <w:t xml:space="preserve">. </w:t>
      </w:r>
      <w:r w:rsidR="00C23BA7" w:rsidRPr="00D56C57">
        <w:t>La nota positiva potrebbe esser rappresentata da una certa stabilità dell’avanzo della bilancia commerciale estera</w:t>
      </w:r>
      <w:r w:rsidR="00F71D3B" w:rsidRPr="00D56C57">
        <w:t>; domina sostanzialmente l’anticipo di consegne che cerca di precedere l’introduzione dei dazi. Il difficile sarà la gestione delle vendite e degli acquisti esteri con i dazi effettivi a regime (anche se per ora non elevati nei confronti della UE). Si tratta quindi di un trimestre interlocutorio, nella consapevolezza che da qui a fine 2025 non sarà un’annata semplice per i nostri operatori con l’estero, richiedendo sagacia e capacità strategiche da parte della nostra classe imprenditoriale, per riuscire a mantenere i mercati presidiati e per poter trovarne di nuovi e promettenti.</w:t>
      </w:r>
      <w:r w:rsidR="002E1901" w:rsidRPr="00D56C57">
        <w:t xml:space="preserve"> I punti cruciali per il futuro decisivi e che occorrerà sviluppare e affrontare in termini strategici sono rappresentati dai seguenti: </w:t>
      </w:r>
      <w:r w:rsidR="00D56C57" w:rsidRPr="00D56C57">
        <w:t>innovazione e specializzazione; diversificazione dei mercati; digitalizzazione e e-commerce; resilienza della catena di approvvigionamento; sostenibilità e responsabilità sociale d'impresa (</w:t>
      </w:r>
      <w:proofErr w:type="spellStart"/>
      <w:r w:rsidR="00D56C57" w:rsidRPr="00D56C57">
        <w:t>csr</w:t>
      </w:r>
      <w:proofErr w:type="spellEnd"/>
      <w:r w:rsidR="00D56C57" w:rsidRPr="00D56C57">
        <w:t>); collaborazione e reti; politiche di supporto. In quest’ultimo caso il supporto delle istituzioni locali e nazionali attraverso programmi di internazionalizzazione, facilitazioni all'export e accordi commerciali può giocare un ruolo cruciale nel sostenere le imprese fiorentine nell’accedere, consolidare e gestire la posizione sui mercati esteri.</w:t>
      </w:r>
    </w:p>
    <w:p w14:paraId="7CFA4901" w14:textId="77777777" w:rsidR="00503694" w:rsidRDefault="00503694" w:rsidP="00D56C57">
      <w:pPr>
        <w:spacing w:after="0" w:line="240" w:lineRule="auto"/>
        <w:jc w:val="both"/>
      </w:pPr>
    </w:p>
    <w:p w14:paraId="4177311D" w14:textId="77777777" w:rsidR="00503694" w:rsidRDefault="00503694" w:rsidP="00D56C57">
      <w:pPr>
        <w:spacing w:after="0" w:line="240" w:lineRule="auto"/>
        <w:jc w:val="both"/>
      </w:pPr>
    </w:p>
    <w:p w14:paraId="71F07E66" w14:textId="77777777" w:rsidR="00503694" w:rsidRDefault="00503694" w:rsidP="00D56C57">
      <w:pPr>
        <w:spacing w:after="0" w:line="240" w:lineRule="auto"/>
        <w:jc w:val="both"/>
      </w:pPr>
    </w:p>
    <w:p w14:paraId="2A379DBB" w14:textId="77777777" w:rsidR="00503694" w:rsidRDefault="00503694" w:rsidP="00D56C57">
      <w:pPr>
        <w:spacing w:after="0" w:line="240" w:lineRule="auto"/>
        <w:jc w:val="both"/>
      </w:pPr>
    </w:p>
    <w:p w14:paraId="5ECE06D6" w14:textId="77777777" w:rsidR="00503694" w:rsidRDefault="00503694" w:rsidP="00D56C57">
      <w:pPr>
        <w:spacing w:after="0" w:line="240" w:lineRule="auto"/>
        <w:jc w:val="both"/>
      </w:pPr>
    </w:p>
    <w:p w14:paraId="2CF3F35C" w14:textId="77777777" w:rsidR="00503694" w:rsidRDefault="00503694" w:rsidP="00D56C57">
      <w:pPr>
        <w:spacing w:after="0" w:line="240" w:lineRule="auto"/>
        <w:jc w:val="both"/>
      </w:pPr>
    </w:p>
    <w:p w14:paraId="1671B15B" w14:textId="77777777" w:rsidR="00503694" w:rsidRDefault="00503694" w:rsidP="00D56C57">
      <w:pPr>
        <w:spacing w:after="0" w:line="240" w:lineRule="auto"/>
        <w:jc w:val="both"/>
      </w:pPr>
    </w:p>
    <w:p w14:paraId="7E0DC668" w14:textId="77777777" w:rsidR="00503694" w:rsidRPr="00D56C57" w:rsidRDefault="00503694" w:rsidP="00D56C57">
      <w:pPr>
        <w:spacing w:after="0" w:line="240" w:lineRule="auto"/>
        <w:jc w:val="both"/>
      </w:pPr>
    </w:p>
    <w:p w14:paraId="2D1357ED" w14:textId="77777777" w:rsidR="00FD1F9E" w:rsidRPr="00B46B51" w:rsidRDefault="00FD1F9E" w:rsidP="006A6A41">
      <w:pPr>
        <w:spacing w:after="0" w:line="240" w:lineRule="auto"/>
        <w:jc w:val="both"/>
        <w:rPr>
          <w:sz w:val="18"/>
        </w:rPr>
      </w:pPr>
    </w:p>
    <w:p w14:paraId="4EE75805" w14:textId="7AFD86CE" w:rsidR="00037056" w:rsidRDefault="005815F3" w:rsidP="002E347D">
      <w:pPr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519C">
        <w:rPr>
          <w:noProof/>
          <w:lang w:eastAsia="it-IT"/>
        </w:rPr>
        <w:lastRenderedPageBreak/>
        <w:drawing>
          <wp:anchor distT="0" distB="0" distL="114300" distR="114300" simplePos="0" relativeHeight="251747328" behindDoc="1" locked="0" layoutInCell="1" allowOverlap="1" wp14:anchorId="1BD824C3" wp14:editId="6B298D7C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612013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515" y="21390"/>
                <wp:lineTo x="21515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D" w:rsidRPr="00C215C9">
        <w:rPr>
          <w:rFonts w:ascii="Arial" w:hAnsi="Arial" w:cs="Arial"/>
          <w:b/>
          <w:bCs/>
          <w:sz w:val="20"/>
          <w:szCs w:val="20"/>
        </w:rPr>
        <w:t>L’andamento dell’interscambi</w:t>
      </w:r>
      <w:r w:rsidR="002E347D">
        <w:rPr>
          <w:rFonts w:ascii="Arial" w:hAnsi="Arial" w:cs="Arial"/>
          <w:b/>
          <w:bCs/>
          <w:sz w:val="20"/>
          <w:szCs w:val="20"/>
        </w:rPr>
        <w:t xml:space="preserve">o commerciale con l’estero al </w:t>
      </w:r>
      <w:r w:rsidR="005E0C9B">
        <w:rPr>
          <w:rFonts w:ascii="Arial" w:hAnsi="Arial" w:cs="Arial"/>
          <w:b/>
          <w:bCs/>
          <w:sz w:val="20"/>
          <w:szCs w:val="20"/>
        </w:rPr>
        <w:t>I</w:t>
      </w:r>
      <w:r w:rsidR="002E347D" w:rsidRPr="00C215C9">
        <w:rPr>
          <w:rFonts w:ascii="Arial" w:hAnsi="Arial" w:cs="Arial"/>
          <w:b/>
          <w:bCs/>
          <w:sz w:val="20"/>
          <w:szCs w:val="20"/>
        </w:rPr>
        <w:t>° trimes</w:t>
      </w:r>
      <w:r w:rsidR="00925CE5">
        <w:rPr>
          <w:rFonts w:ascii="Arial" w:hAnsi="Arial" w:cs="Arial"/>
          <w:b/>
          <w:bCs/>
          <w:sz w:val="20"/>
          <w:szCs w:val="20"/>
        </w:rPr>
        <w:t>tre 202</w:t>
      </w:r>
      <w:r w:rsidR="006C519C">
        <w:rPr>
          <w:rFonts w:ascii="Arial" w:hAnsi="Arial" w:cs="Arial"/>
          <w:b/>
          <w:bCs/>
          <w:sz w:val="20"/>
          <w:szCs w:val="20"/>
        </w:rPr>
        <w:t>5</w:t>
      </w:r>
      <w:r w:rsidR="002E347D">
        <w:rPr>
          <w:rFonts w:ascii="Arial" w:hAnsi="Arial" w:cs="Arial"/>
          <w:b/>
          <w:bCs/>
          <w:sz w:val="20"/>
          <w:szCs w:val="20"/>
        </w:rPr>
        <w:t xml:space="preserve"> e confronto con il 202</w:t>
      </w:r>
      <w:r w:rsidR="006C519C">
        <w:rPr>
          <w:rFonts w:ascii="Arial" w:hAnsi="Arial" w:cs="Arial"/>
          <w:b/>
          <w:bCs/>
          <w:sz w:val="20"/>
          <w:szCs w:val="20"/>
        </w:rPr>
        <w:t>4</w:t>
      </w:r>
    </w:p>
    <w:p w14:paraId="51C47F33" w14:textId="5076DCB2" w:rsidR="005815F3" w:rsidRDefault="005815F3" w:rsidP="002E347D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3765760" w14:textId="77777777" w:rsidR="005815F3" w:rsidRDefault="005815F3" w:rsidP="002E347D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64D016D" w14:textId="3839E8F8" w:rsidR="006C519C" w:rsidRDefault="005815F3" w:rsidP="002E347D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5815F3">
        <w:rPr>
          <w:noProof/>
          <w:lang w:eastAsia="it-IT"/>
        </w:rPr>
        <w:drawing>
          <wp:anchor distT="0" distB="0" distL="114300" distR="114300" simplePos="0" relativeHeight="251748352" behindDoc="1" locked="0" layoutInCell="1" allowOverlap="1" wp14:anchorId="6ED76BD7" wp14:editId="02B74BC5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6120130" cy="1915795"/>
            <wp:effectExtent l="0" t="0" r="0" b="8255"/>
            <wp:wrapTight wrapText="bothSides">
              <wp:wrapPolygon edited="0">
                <wp:start x="0" y="0"/>
                <wp:lineTo x="0" y="21478"/>
                <wp:lineTo x="21515" y="21478"/>
                <wp:lineTo x="2151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50758" w14:textId="77777777" w:rsidR="00037056" w:rsidRDefault="00037056" w:rsidP="002E347D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037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32"/>
    <w:rsid w:val="000012ED"/>
    <w:rsid w:val="00006E05"/>
    <w:rsid w:val="00006F33"/>
    <w:rsid w:val="000137A1"/>
    <w:rsid w:val="00014B2E"/>
    <w:rsid w:val="000159DF"/>
    <w:rsid w:val="0003487C"/>
    <w:rsid w:val="00037056"/>
    <w:rsid w:val="00043FDF"/>
    <w:rsid w:val="00047560"/>
    <w:rsid w:val="000605B7"/>
    <w:rsid w:val="000634A7"/>
    <w:rsid w:val="00071813"/>
    <w:rsid w:val="0007395D"/>
    <w:rsid w:val="00074CA0"/>
    <w:rsid w:val="00085C25"/>
    <w:rsid w:val="00094239"/>
    <w:rsid w:val="000C0802"/>
    <w:rsid w:val="000C429C"/>
    <w:rsid w:val="000C6171"/>
    <w:rsid w:val="000C78BD"/>
    <w:rsid w:val="000E122E"/>
    <w:rsid w:val="000F6C1D"/>
    <w:rsid w:val="00105E78"/>
    <w:rsid w:val="00106F08"/>
    <w:rsid w:val="0011149D"/>
    <w:rsid w:val="00115DF0"/>
    <w:rsid w:val="00117BCB"/>
    <w:rsid w:val="001276D3"/>
    <w:rsid w:val="00130F3B"/>
    <w:rsid w:val="001316E4"/>
    <w:rsid w:val="001318D7"/>
    <w:rsid w:val="001330CF"/>
    <w:rsid w:val="00136DD8"/>
    <w:rsid w:val="001468B8"/>
    <w:rsid w:val="00152A75"/>
    <w:rsid w:val="00156A1F"/>
    <w:rsid w:val="00157603"/>
    <w:rsid w:val="001625FD"/>
    <w:rsid w:val="001829E3"/>
    <w:rsid w:val="001835C9"/>
    <w:rsid w:val="00186BC4"/>
    <w:rsid w:val="001917D8"/>
    <w:rsid w:val="00192126"/>
    <w:rsid w:val="00192E32"/>
    <w:rsid w:val="001A5B12"/>
    <w:rsid w:val="001A7966"/>
    <w:rsid w:val="001B244E"/>
    <w:rsid w:val="001B3F7A"/>
    <w:rsid w:val="001C0EF4"/>
    <w:rsid w:val="001C25A8"/>
    <w:rsid w:val="001C31E5"/>
    <w:rsid w:val="001D2D60"/>
    <w:rsid w:val="001D3CCB"/>
    <w:rsid w:val="001E413A"/>
    <w:rsid w:val="001F0AF8"/>
    <w:rsid w:val="001F2E7F"/>
    <w:rsid w:val="00200DFA"/>
    <w:rsid w:val="002066C5"/>
    <w:rsid w:val="0021492C"/>
    <w:rsid w:val="0022315D"/>
    <w:rsid w:val="002252C6"/>
    <w:rsid w:val="002363C1"/>
    <w:rsid w:val="00250CF5"/>
    <w:rsid w:val="0027174D"/>
    <w:rsid w:val="00272C13"/>
    <w:rsid w:val="002771E7"/>
    <w:rsid w:val="002812CA"/>
    <w:rsid w:val="00281345"/>
    <w:rsid w:val="00291989"/>
    <w:rsid w:val="00297695"/>
    <w:rsid w:val="002C1224"/>
    <w:rsid w:val="002C35B2"/>
    <w:rsid w:val="002C3F3F"/>
    <w:rsid w:val="002C7B9C"/>
    <w:rsid w:val="002D7171"/>
    <w:rsid w:val="002E1901"/>
    <w:rsid w:val="002E347D"/>
    <w:rsid w:val="002E4B0D"/>
    <w:rsid w:val="00300727"/>
    <w:rsid w:val="00300E65"/>
    <w:rsid w:val="003034CF"/>
    <w:rsid w:val="003062FA"/>
    <w:rsid w:val="00307108"/>
    <w:rsid w:val="00311319"/>
    <w:rsid w:val="0032590B"/>
    <w:rsid w:val="00330B6E"/>
    <w:rsid w:val="00346DC6"/>
    <w:rsid w:val="00347B01"/>
    <w:rsid w:val="00350CDF"/>
    <w:rsid w:val="00376BCE"/>
    <w:rsid w:val="00377054"/>
    <w:rsid w:val="00384EF0"/>
    <w:rsid w:val="003972D7"/>
    <w:rsid w:val="003A17BB"/>
    <w:rsid w:val="003A1A42"/>
    <w:rsid w:val="003A36EE"/>
    <w:rsid w:val="003A7167"/>
    <w:rsid w:val="003B3D0B"/>
    <w:rsid w:val="003B74B4"/>
    <w:rsid w:val="003B7FCB"/>
    <w:rsid w:val="003C4BC0"/>
    <w:rsid w:val="003D078D"/>
    <w:rsid w:val="003E13D0"/>
    <w:rsid w:val="003E692A"/>
    <w:rsid w:val="003E7036"/>
    <w:rsid w:val="003F326D"/>
    <w:rsid w:val="00413B0D"/>
    <w:rsid w:val="00413E3A"/>
    <w:rsid w:val="0041759B"/>
    <w:rsid w:val="00423A79"/>
    <w:rsid w:val="00425709"/>
    <w:rsid w:val="00425E61"/>
    <w:rsid w:val="00433156"/>
    <w:rsid w:val="0044074D"/>
    <w:rsid w:val="004506AB"/>
    <w:rsid w:val="00450CAB"/>
    <w:rsid w:val="0045174F"/>
    <w:rsid w:val="00454928"/>
    <w:rsid w:val="00480A78"/>
    <w:rsid w:val="00482C8B"/>
    <w:rsid w:val="0048679F"/>
    <w:rsid w:val="004916D5"/>
    <w:rsid w:val="0049285B"/>
    <w:rsid w:val="004941AB"/>
    <w:rsid w:val="00494712"/>
    <w:rsid w:val="004A10D8"/>
    <w:rsid w:val="004A177A"/>
    <w:rsid w:val="004A4005"/>
    <w:rsid w:val="004B38E2"/>
    <w:rsid w:val="004B6C76"/>
    <w:rsid w:val="004C649C"/>
    <w:rsid w:val="004D69D9"/>
    <w:rsid w:val="004E16B6"/>
    <w:rsid w:val="00503694"/>
    <w:rsid w:val="00505416"/>
    <w:rsid w:val="00510579"/>
    <w:rsid w:val="00520D46"/>
    <w:rsid w:val="00521B21"/>
    <w:rsid w:val="00526C65"/>
    <w:rsid w:val="00531D75"/>
    <w:rsid w:val="0053660A"/>
    <w:rsid w:val="00536A0E"/>
    <w:rsid w:val="00541041"/>
    <w:rsid w:val="005554F1"/>
    <w:rsid w:val="005557A6"/>
    <w:rsid w:val="00557A16"/>
    <w:rsid w:val="00560EA9"/>
    <w:rsid w:val="00560FEC"/>
    <w:rsid w:val="00564DA7"/>
    <w:rsid w:val="00574289"/>
    <w:rsid w:val="00575075"/>
    <w:rsid w:val="005815F3"/>
    <w:rsid w:val="00585B1A"/>
    <w:rsid w:val="00586287"/>
    <w:rsid w:val="00587369"/>
    <w:rsid w:val="00594D84"/>
    <w:rsid w:val="00596190"/>
    <w:rsid w:val="005A3EBD"/>
    <w:rsid w:val="005B0407"/>
    <w:rsid w:val="005B0888"/>
    <w:rsid w:val="005C5A8B"/>
    <w:rsid w:val="005D4715"/>
    <w:rsid w:val="005E07CA"/>
    <w:rsid w:val="005E0C9B"/>
    <w:rsid w:val="005E0FA4"/>
    <w:rsid w:val="005E735A"/>
    <w:rsid w:val="005F12B2"/>
    <w:rsid w:val="005F6F15"/>
    <w:rsid w:val="005F7B42"/>
    <w:rsid w:val="006013C4"/>
    <w:rsid w:val="00603C1C"/>
    <w:rsid w:val="006179BE"/>
    <w:rsid w:val="006237AB"/>
    <w:rsid w:val="006243C2"/>
    <w:rsid w:val="00625288"/>
    <w:rsid w:val="00631A9D"/>
    <w:rsid w:val="006426B8"/>
    <w:rsid w:val="00642A97"/>
    <w:rsid w:val="00660A76"/>
    <w:rsid w:val="00663533"/>
    <w:rsid w:val="0067191B"/>
    <w:rsid w:val="0068174E"/>
    <w:rsid w:val="006908A3"/>
    <w:rsid w:val="00691A1B"/>
    <w:rsid w:val="0069603B"/>
    <w:rsid w:val="00697FF3"/>
    <w:rsid w:val="006A6A41"/>
    <w:rsid w:val="006B5DAC"/>
    <w:rsid w:val="006B7611"/>
    <w:rsid w:val="006C4EC9"/>
    <w:rsid w:val="006C519C"/>
    <w:rsid w:val="006D45CD"/>
    <w:rsid w:val="006D61E3"/>
    <w:rsid w:val="006E08DA"/>
    <w:rsid w:val="006E17CE"/>
    <w:rsid w:val="006E6E7B"/>
    <w:rsid w:val="00700599"/>
    <w:rsid w:val="00704B66"/>
    <w:rsid w:val="00706302"/>
    <w:rsid w:val="00706475"/>
    <w:rsid w:val="0070655F"/>
    <w:rsid w:val="007065CD"/>
    <w:rsid w:val="007155EF"/>
    <w:rsid w:val="0072659B"/>
    <w:rsid w:val="0075302B"/>
    <w:rsid w:val="00754E4E"/>
    <w:rsid w:val="00756B9C"/>
    <w:rsid w:val="00760DE9"/>
    <w:rsid w:val="00774782"/>
    <w:rsid w:val="00774FDE"/>
    <w:rsid w:val="00776AE0"/>
    <w:rsid w:val="00783C87"/>
    <w:rsid w:val="0078642C"/>
    <w:rsid w:val="007A1AB0"/>
    <w:rsid w:val="007A2385"/>
    <w:rsid w:val="007A4133"/>
    <w:rsid w:val="007B1B90"/>
    <w:rsid w:val="007D167B"/>
    <w:rsid w:val="007D3769"/>
    <w:rsid w:val="007F75B6"/>
    <w:rsid w:val="008030A0"/>
    <w:rsid w:val="00805D3E"/>
    <w:rsid w:val="0081203D"/>
    <w:rsid w:val="00813A6F"/>
    <w:rsid w:val="00815F3F"/>
    <w:rsid w:val="008252D9"/>
    <w:rsid w:val="0083709F"/>
    <w:rsid w:val="00841662"/>
    <w:rsid w:val="0085419A"/>
    <w:rsid w:val="00874365"/>
    <w:rsid w:val="0087541D"/>
    <w:rsid w:val="00875E39"/>
    <w:rsid w:val="0088290A"/>
    <w:rsid w:val="00887E39"/>
    <w:rsid w:val="0089130F"/>
    <w:rsid w:val="008A2A11"/>
    <w:rsid w:val="008C3CEC"/>
    <w:rsid w:val="008D076C"/>
    <w:rsid w:val="008D695D"/>
    <w:rsid w:val="008E1C55"/>
    <w:rsid w:val="008E29ED"/>
    <w:rsid w:val="008E7AB1"/>
    <w:rsid w:val="008F02C2"/>
    <w:rsid w:val="008F6390"/>
    <w:rsid w:val="0090067A"/>
    <w:rsid w:val="00901F38"/>
    <w:rsid w:val="00905F71"/>
    <w:rsid w:val="00906103"/>
    <w:rsid w:val="00906120"/>
    <w:rsid w:val="00910EA0"/>
    <w:rsid w:val="00915742"/>
    <w:rsid w:val="00924387"/>
    <w:rsid w:val="00925CE5"/>
    <w:rsid w:val="00927760"/>
    <w:rsid w:val="00930ECE"/>
    <w:rsid w:val="009310E8"/>
    <w:rsid w:val="00942D1F"/>
    <w:rsid w:val="009474E9"/>
    <w:rsid w:val="00955315"/>
    <w:rsid w:val="0096743B"/>
    <w:rsid w:val="00970D1A"/>
    <w:rsid w:val="00975E29"/>
    <w:rsid w:val="00983984"/>
    <w:rsid w:val="009862C2"/>
    <w:rsid w:val="009927B0"/>
    <w:rsid w:val="00995423"/>
    <w:rsid w:val="00996B5A"/>
    <w:rsid w:val="009A5AE9"/>
    <w:rsid w:val="009A75D6"/>
    <w:rsid w:val="009B5EDF"/>
    <w:rsid w:val="009B7065"/>
    <w:rsid w:val="009C018A"/>
    <w:rsid w:val="009D65D0"/>
    <w:rsid w:val="009D6AC1"/>
    <w:rsid w:val="009E1AF4"/>
    <w:rsid w:val="009F44A4"/>
    <w:rsid w:val="00A000D7"/>
    <w:rsid w:val="00A06597"/>
    <w:rsid w:val="00A11C8F"/>
    <w:rsid w:val="00A24D35"/>
    <w:rsid w:val="00A2566A"/>
    <w:rsid w:val="00A27DAD"/>
    <w:rsid w:val="00A27F9C"/>
    <w:rsid w:val="00A40750"/>
    <w:rsid w:val="00A43FDE"/>
    <w:rsid w:val="00A46567"/>
    <w:rsid w:val="00A5372B"/>
    <w:rsid w:val="00A57788"/>
    <w:rsid w:val="00A60573"/>
    <w:rsid w:val="00A612F6"/>
    <w:rsid w:val="00A67071"/>
    <w:rsid w:val="00A70756"/>
    <w:rsid w:val="00A87DCA"/>
    <w:rsid w:val="00A93904"/>
    <w:rsid w:val="00AA2257"/>
    <w:rsid w:val="00AA5C44"/>
    <w:rsid w:val="00AA6E77"/>
    <w:rsid w:val="00AB0ECD"/>
    <w:rsid w:val="00AC05B0"/>
    <w:rsid w:val="00AD0D46"/>
    <w:rsid w:val="00AD544D"/>
    <w:rsid w:val="00AE6E4F"/>
    <w:rsid w:val="00AF24DB"/>
    <w:rsid w:val="00B15093"/>
    <w:rsid w:val="00B23981"/>
    <w:rsid w:val="00B24F49"/>
    <w:rsid w:val="00B32603"/>
    <w:rsid w:val="00B3394F"/>
    <w:rsid w:val="00B40879"/>
    <w:rsid w:val="00B417F2"/>
    <w:rsid w:val="00B46B51"/>
    <w:rsid w:val="00B543D1"/>
    <w:rsid w:val="00B60745"/>
    <w:rsid w:val="00B61D09"/>
    <w:rsid w:val="00B72410"/>
    <w:rsid w:val="00B74CD6"/>
    <w:rsid w:val="00B77C60"/>
    <w:rsid w:val="00B8335D"/>
    <w:rsid w:val="00B97555"/>
    <w:rsid w:val="00BA4261"/>
    <w:rsid w:val="00BB3246"/>
    <w:rsid w:val="00BD3D7E"/>
    <w:rsid w:val="00BD4A49"/>
    <w:rsid w:val="00BE58E7"/>
    <w:rsid w:val="00C01DD2"/>
    <w:rsid w:val="00C040A1"/>
    <w:rsid w:val="00C154A1"/>
    <w:rsid w:val="00C16D7B"/>
    <w:rsid w:val="00C23BA7"/>
    <w:rsid w:val="00C32E49"/>
    <w:rsid w:val="00C45053"/>
    <w:rsid w:val="00C5233F"/>
    <w:rsid w:val="00C600F9"/>
    <w:rsid w:val="00C6175D"/>
    <w:rsid w:val="00C86520"/>
    <w:rsid w:val="00CB2572"/>
    <w:rsid w:val="00CB7AED"/>
    <w:rsid w:val="00CC0927"/>
    <w:rsid w:val="00CC300A"/>
    <w:rsid w:val="00CC30BE"/>
    <w:rsid w:val="00CC3917"/>
    <w:rsid w:val="00CE3A55"/>
    <w:rsid w:val="00CF1992"/>
    <w:rsid w:val="00CF2B77"/>
    <w:rsid w:val="00CF2EEA"/>
    <w:rsid w:val="00CF5E10"/>
    <w:rsid w:val="00D060B0"/>
    <w:rsid w:val="00D07476"/>
    <w:rsid w:val="00D1027E"/>
    <w:rsid w:val="00D1142D"/>
    <w:rsid w:val="00D2360B"/>
    <w:rsid w:val="00D23F58"/>
    <w:rsid w:val="00D2576C"/>
    <w:rsid w:val="00D303BE"/>
    <w:rsid w:val="00D33668"/>
    <w:rsid w:val="00D346D3"/>
    <w:rsid w:val="00D35B5D"/>
    <w:rsid w:val="00D41755"/>
    <w:rsid w:val="00D42DEB"/>
    <w:rsid w:val="00D52218"/>
    <w:rsid w:val="00D56C57"/>
    <w:rsid w:val="00D64A57"/>
    <w:rsid w:val="00D67227"/>
    <w:rsid w:val="00D70069"/>
    <w:rsid w:val="00D764B7"/>
    <w:rsid w:val="00D774BF"/>
    <w:rsid w:val="00D83576"/>
    <w:rsid w:val="00D912E9"/>
    <w:rsid w:val="00D92A03"/>
    <w:rsid w:val="00DA320F"/>
    <w:rsid w:val="00DA38FE"/>
    <w:rsid w:val="00DB01D1"/>
    <w:rsid w:val="00DB7A0D"/>
    <w:rsid w:val="00DC71BB"/>
    <w:rsid w:val="00DD7095"/>
    <w:rsid w:val="00DE0873"/>
    <w:rsid w:val="00DE190D"/>
    <w:rsid w:val="00DF1F99"/>
    <w:rsid w:val="00E04F8F"/>
    <w:rsid w:val="00E07223"/>
    <w:rsid w:val="00E16999"/>
    <w:rsid w:val="00E23889"/>
    <w:rsid w:val="00E258F3"/>
    <w:rsid w:val="00E2725D"/>
    <w:rsid w:val="00E31B52"/>
    <w:rsid w:val="00E359A7"/>
    <w:rsid w:val="00E50566"/>
    <w:rsid w:val="00E54488"/>
    <w:rsid w:val="00E55A7C"/>
    <w:rsid w:val="00E639D8"/>
    <w:rsid w:val="00E64785"/>
    <w:rsid w:val="00E71720"/>
    <w:rsid w:val="00E71A4C"/>
    <w:rsid w:val="00E75426"/>
    <w:rsid w:val="00E82910"/>
    <w:rsid w:val="00E83563"/>
    <w:rsid w:val="00E90E53"/>
    <w:rsid w:val="00EC13C1"/>
    <w:rsid w:val="00EC2229"/>
    <w:rsid w:val="00EC4838"/>
    <w:rsid w:val="00ED1514"/>
    <w:rsid w:val="00ED5DDE"/>
    <w:rsid w:val="00EE138C"/>
    <w:rsid w:val="00F00206"/>
    <w:rsid w:val="00F03508"/>
    <w:rsid w:val="00F05A34"/>
    <w:rsid w:val="00F12866"/>
    <w:rsid w:val="00F20A8C"/>
    <w:rsid w:val="00F20B4E"/>
    <w:rsid w:val="00F24E6E"/>
    <w:rsid w:val="00F37347"/>
    <w:rsid w:val="00F47386"/>
    <w:rsid w:val="00F64109"/>
    <w:rsid w:val="00F64D5E"/>
    <w:rsid w:val="00F669C1"/>
    <w:rsid w:val="00F71D3B"/>
    <w:rsid w:val="00F72C23"/>
    <w:rsid w:val="00F76624"/>
    <w:rsid w:val="00F94C21"/>
    <w:rsid w:val="00FA5821"/>
    <w:rsid w:val="00FB3ADE"/>
    <w:rsid w:val="00FB493B"/>
    <w:rsid w:val="00FC5AE6"/>
    <w:rsid w:val="00FD1F9E"/>
    <w:rsid w:val="00FD4506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C59C"/>
  <w15:chartTrackingRefBased/>
  <w15:docId w15:val="{C83342EF-D228-43A4-9294-7A361DC6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6C59-577C-450D-8166-85DF759D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Batazzi</dc:creator>
  <cp:keywords/>
  <dc:description/>
  <cp:lastModifiedBy>Antonella Berti</cp:lastModifiedBy>
  <cp:revision>477</cp:revision>
  <cp:lastPrinted>2025-06-17T13:46:00Z</cp:lastPrinted>
  <dcterms:created xsi:type="dcterms:W3CDTF">2021-06-22T20:19:00Z</dcterms:created>
  <dcterms:modified xsi:type="dcterms:W3CDTF">2025-06-18T09:40:00Z</dcterms:modified>
</cp:coreProperties>
</file>