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EEAA13" w14:textId="77777777" w:rsidR="007A7735" w:rsidRDefault="007A7735" w:rsidP="0053323B"/>
    <w:p w14:paraId="2C14829C" w14:textId="59DF4F36" w:rsidR="004157ED" w:rsidRPr="002A75C9" w:rsidRDefault="00817E1C" w:rsidP="007E6D2A">
      <w:pPr>
        <w:jc w:val="center"/>
        <w:rPr>
          <w:rFonts w:ascii="Cambria" w:hAnsi="Cambria"/>
          <w:sz w:val="26"/>
          <w:szCs w:val="26"/>
          <w:u w:val="single"/>
        </w:rPr>
      </w:pPr>
      <w:r w:rsidRPr="002A75C9">
        <w:rPr>
          <w:rFonts w:ascii="Cambria" w:hAnsi="Cambria"/>
          <w:sz w:val="26"/>
          <w:szCs w:val="26"/>
          <w:u w:val="single"/>
        </w:rPr>
        <w:t>COMUNICATO</w:t>
      </w:r>
      <w:r w:rsidR="00D55F1E" w:rsidRPr="002A75C9">
        <w:rPr>
          <w:rFonts w:ascii="Cambria" w:hAnsi="Cambria"/>
          <w:sz w:val="26"/>
          <w:szCs w:val="26"/>
          <w:u w:val="single"/>
        </w:rPr>
        <w:t xml:space="preserve"> STAMPA</w:t>
      </w:r>
    </w:p>
    <w:p w14:paraId="472C1009" w14:textId="77777777" w:rsidR="0017019A" w:rsidRDefault="0017019A" w:rsidP="007E6D2A">
      <w:pPr>
        <w:jc w:val="center"/>
        <w:rPr>
          <w:rFonts w:ascii="Arial" w:eastAsia="Arial" w:hAnsi="Arial" w:cs="Arial"/>
          <w:sz w:val="26"/>
          <w:szCs w:val="26"/>
          <w:u w:val="single"/>
        </w:rPr>
      </w:pPr>
    </w:p>
    <w:p w14:paraId="28379CD0" w14:textId="487AB7F6" w:rsidR="00054246" w:rsidRPr="00650AAD" w:rsidRDefault="00054246" w:rsidP="007E6D2A">
      <w:pPr>
        <w:ind w:left="284" w:right="685"/>
        <w:jc w:val="center"/>
        <w:rPr>
          <w:rFonts w:ascii="Verdana" w:hAnsi="Verdana"/>
          <w:b/>
          <w:bCs/>
          <w:kern w:val="0"/>
          <w:sz w:val="36"/>
          <w:szCs w:val="36"/>
        </w:rPr>
      </w:pPr>
      <w:r w:rsidRPr="00650AAD">
        <w:rPr>
          <w:rFonts w:ascii="Verdana" w:hAnsi="Verdana"/>
          <w:b/>
          <w:bCs/>
          <w:kern w:val="0"/>
          <w:sz w:val="36"/>
          <w:szCs w:val="36"/>
        </w:rPr>
        <w:t xml:space="preserve">Firenze regina del </w:t>
      </w:r>
      <w:proofErr w:type="spellStart"/>
      <w:r w:rsidRPr="00650AAD">
        <w:rPr>
          <w:rFonts w:ascii="Verdana" w:hAnsi="Verdana"/>
          <w:b/>
          <w:bCs/>
          <w:kern w:val="0"/>
          <w:sz w:val="36"/>
          <w:szCs w:val="36"/>
        </w:rPr>
        <w:t>cashless</w:t>
      </w:r>
      <w:proofErr w:type="spellEnd"/>
    </w:p>
    <w:p w14:paraId="28348073" w14:textId="6A155AD7" w:rsidR="00054246" w:rsidRPr="003264E2" w:rsidRDefault="00272179" w:rsidP="00A02738">
      <w:pPr>
        <w:ind w:left="284" w:right="685"/>
        <w:jc w:val="both"/>
        <w:rPr>
          <w:rFonts w:ascii="Verdana" w:hAnsi="Verdana"/>
          <w:b/>
          <w:bCs/>
          <w:spacing w:val="-4"/>
          <w:kern w:val="0"/>
        </w:rPr>
      </w:pPr>
      <w:bookmarkStart w:id="0" w:name="_Hlk129601731"/>
      <w:r>
        <w:rPr>
          <w:rFonts w:ascii="Verdana" w:hAnsi="Verdana"/>
          <w:bCs/>
          <w:i/>
          <w:spacing w:val="-4"/>
          <w:kern w:val="0"/>
        </w:rPr>
        <w:t>Prima in Italia</w:t>
      </w:r>
      <w:r w:rsidR="00BD6BD4" w:rsidRPr="00B85116">
        <w:rPr>
          <w:rFonts w:ascii="Verdana" w:hAnsi="Verdana"/>
          <w:bCs/>
          <w:i/>
          <w:spacing w:val="-4"/>
          <w:kern w:val="0"/>
        </w:rPr>
        <w:t xml:space="preserve"> per pagamenti digitali</w:t>
      </w:r>
      <w:r w:rsidR="00AA585F" w:rsidRPr="003264E2">
        <w:rPr>
          <w:rFonts w:ascii="Verdana" w:hAnsi="Verdana"/>
          <w:bCs/>
          <w:i/>
          <w:spacing w:val="-4"/>
          <w:kern w:val="0"/>
        </w:rPr>
        <w:t>.</w:t>
      </w:r>
      <w:r w:rsidR="00D0350F" w:rsidRPr="003264E2">
        <w:rPr>
          <w:rFonts w:ascii="Verdana" w:hAnsi="Verdana"/>
          <w:bCs/>
          <w:i/>
          <w:spacing w:val="-4"/>
          <w:kern w:val="0"/>
        </w:rPr>
        <w:t xml:space="preserve"> </w:t>
      </w:r>
      <w:bookmarkEnd w:id="0"/>
      <w:r w:rsidR="00A02738" w:rsidRPr="003264E2">
        <w:rPr>
          <w:rFonts w:ascii="Verdana" w:hAnsi="Verdana"/>
          <w:bCs/>
          <w:i/>
          <w:spacing w:val="-4"/>
          <w:kern w:val="0"/>
        </w:rPr>
        <w:t>Toscana terza</w:t>
      </w:r>
      <w:r w:rsidR="00DB7183" w:rsidRPr="003264E2">
        <w:rPr>
          <w:rFonts w:ascii="Verdana" w:hAnsi="Verdana"/>
          <w:bCs/>
          <w:i/>
          <w:spacing w:val="-4"/>
          <w:kern w:val="0"/>
        </w:rPr>
        <w:t xml:space="preserve"> tra le</w:t>
      </w:r>
      <w:r w:rsidR="00A02738" w:rsidRPr="003264E2">
        <w:rPr>
          <w:rFonts w:ascii="Verdana" w:hAnsi="Verdana"/>
          <w:bCs/>
          <w:i/>
          <w:spacing w:val="-4"/>
          <w:kern w:val="0"/>
        </w:rPr>
        <w:t xml:space="preserve"> region</w:t>
      </w:r>
      <w:r w:rsidR="00DB7183" w:rsidRPr="003264E2">
        <w:rPr>
          <w:rFonts w:ascii="Verdana" w:hAnsi="Verdana"/>
          <w:bCs/>
          <w:i/>
          <w:spacing w:val="-4"/>
          <w:kern w:val="0"/>
        </w:rPr>
        <w:t>i</w:t>
      </w:r>
      <w:r w:rsidR="00A02738" w:rsidRPr="003264E2">
        <w:rPr>
          <w:rFonts w:ascii="Verdana" w:hAnsi="Verdana"/>
          <w:bCs/>
          <w:i/>
          <w:spacing w:val="-4"/>
          <w:kern w:val="0"/>
        </w:rPr>
        <w:t xml:space="preserve">, dopo Lombardia e Piemonte. </w:t>
      </w:r>
      <w:r w:rsidR="00BD6BD4" w:rsidRPr="003264E2">
        <w:rPr>
          <w:rFonts w:ascii="Verdana" w:hAnsi="Verdana"/>
          <w:bCs/>
          <w:i/>
          <w:spacing w:val="-4"/>
          <w:kern w:val="0"/>
        </w:rPr>
        <w:t xml:space="preserve">L’impegno di </w:t>
      </w:r>
      <w:proofErr w:type="spellStart"/>
      <w:r w:rsidR="00BD6BD4" w:rsidRPr="003264E2">
        <w:rPr>
          <w:rFonts w:ascii="Verdana" w:hAnsi="Verdana"/>
          <w:bCs/>
          <w:i/>
          <w:spacing w:val="-4"/>
          <w:kern w:val="0"/>
        </w:rPr>
        <w:t>Metrocittà</w:t>
      </w:r>
      <w:proofErr w:type="spellEnd"/>
      <w:r w:rsidR="007C739E" w:rsidRPr="003264E2">
        <w:rPr>
          <w:rFonts w:ascii="Verdana" w:hAnsi="Verdana"/>
          <w:bCs/>
          <w:i/>
          <w:spacing w:val="-4"/>
          <w:kern w:val="0"/>
        </w:rPr>
        <w:t xml:space="preserve"> e Camera di </w:t>
      </w:r>
      <w:r w:rsidR="0074346D">
        <w:rPr>
          <w:rFonts w:ascii="Verdana" w:hAnsi="Verdana"/>
          <w:bCs/>
          <w:i/>
          <w:spacing w:val="-4"/>
          <w:kern w:val="0"/>
        </w:rPr>
        <w:t>c</w:t>
      </w:r>
      <w:r w:rsidR="007C739E" w:rsidRPr="003264E2">
        <w:rPr>
          <w:rFonts w:ascii="Verdana" w:hAnsi="Verdana"/>
          <w:bCs/>
          <w:i/>
          <w:spacing w:val="-4"/>
          <w:kern w:val="0"/>
        </w:rPr>
        <w:t>ommercio</w:t>
      </w:r>
      <w:r w:rsidR="00BD6BD4" w:rsidRPr="003264E2">
        <w:rPr>
          <w:rFonts w:ascii="Verdana" w:hAnsi="Verdana"/>
          <w:bCs/>
          <w:i/>
          <w:spacing w:val="-4"/>
          <w:kern w:val="0"/>
        </w:rPr>
        <w:t xml:space="preserve">. </w:t>
      </w:r>
      <w:r>
        <w:rPr>
          <w:rFonts w:ascii="Verdana" w:hAnsi="Verdana"/>
          <w:bCs/>
          <w:i/>
          <w:spacing w:val="-4"/>
          <w:kern w:val="0"/>
        </w:rPr>
        <w:t>I</w:t>
      </w:r>
      <w:r w:rsidR="003264E2">
        <w:rPr>
          <w:rFonts w:ascii="Verdana" w:hAnsi="Verdana"/>
          <w:bCs/>
          <w:i/>
          <w:spacing w:val="-4"/>
          <w:kern w:val="0"/>
        </w:rPr>
        <w:t>niziativa</w:t>
      </w:r>
      <w:r w:rsidR="00A02738" w:rsidRPr="003264E2">
        <w:rPr>
          <w:rFonts w:ascii="Verdana" w:hAnsi="Verdana"/>
          <w:bCs/>
          <w:i/>
          <w:spacing w:val="-4"/>
          <w:kern w:val="0"/>
        </w:rPr>
        <w:t xml:space="preserve"> di Intesa Sanpaolo</w:t>
      </w:r>
      <w:r w:rsidR="00DA1960" w:rsidRPr="003264E2">
        <w:rPr>
          <w:rFonts w:ascii="Verdana" w:hAnsi="Verdana"/>
          <w:bCs/>
          <w:i/>
          <w:spacing w:val="-4"/>
          <w:kern w:val="0"/>
        </w:rPr>
        <w:t xml:space="preserve"> </w:t>
      </w:r>
      <w:r w:rsidR="00A02738" w:rsidRPr="003264E2">
        <w:rPr>
          <w:rFonts w:ascii="Verdana" w:hAnsi="Verdana"/>
          <w:bCs/>
          <w:i/>
          <w:spacing w:val="-4"/>
          <w:kern w:val="0"/>
        </w:rPr>
        <w:t>per rafforzare la transizione dal denaro fisico.</w:t>
      </w:r>
    </w:p>
    <w:p w14:paraId="3D9891B7" w14:textId="77777777" w:rsidR="00054246" w:rsidRPr="00F137F0" w:rsidRDefault="00054246" w:rsidP="007E6D2A">
      <w:pPr>
        <w:ind w:left="284" w:right="685"/>
        <w:jc w:val="center"/>
        <w:rPr>
          <w:rFonts w:ascii="Verdana" w:hAnsi="Verdana"/>
          <w:b/>
          <w:bCs/>
          <w:spacing w:val="-2"/>
          <w:kern w:val="0"/>
          <w:sz w:val="14"/>
          <w:szCs w:val="14"/>
        </w:rPr>
      </w:pPr>
    </w:p>
    <w:p w14:paraId="13BF248A" w14:textId="77777777" w:rsidR="00743B2E" w:rsidRPr="00650AAD" w:rsidRDefault="00743B2E" w:rsidP="006A04D6">
      <w:pPr>
        <w:ind w:left="284" w:right="685"/>
        <w:jc w:val="center"/>
        <w:rPr>
          <w:rFonts w:ascii="Verdana" w:hAnsi="Verdana"/>
          <w:b/>
          <w:bCs/>
          <w:kern w:val="0"/>
          <w:sz w:val="14"/>
          <w:szCs w:val="14"/>
        </w:rPr>
      </w:pPr>
    </w:p>
    <w:p w14:paraId="291B2607" w14:textId="16E4D0B8" w:rsidR="007C739E" w:rsidRDefault="00817E1C" w:rsidP="00F137F0">
      <w:pPr>
        <w:ind w:left="284" w:right="544"/>
        <w:jc w:val="both"/>
        <w:rPr>
          <w:rFonts w:ascii="Verdana" w:eastAsia="Times New Roman" w:hAnsi="Verdana"/>
        </w:rPr>
      </w:pPr>
      <w:r w:rsidRPr="00143733">
        <w:rPr>
          <w:rFonts w:ascii="Verdana" w:hAnsi="Verdana"/>
          <w:bCs/>
          <w:iCs/>
          <w:kern w:val="0"/>
        </w:rPr>
        <w:t>Firenze</w:t>
      </w:r>
      <w:r w:rsidR="00D55F1E" w:rsidRPr="00143733">
        <w:rPr>
          <w:rFonts w:ascii="Verdana" w:hAnsi="Verdana"/>
          <w:bCs/>
          <w:iCs/>
          <w:kern w:val="0"/>
        </w:rPr>
        <w:t xml:space="preserve">, </w:t>
      </w:r>
      <w:r w:rsidR="00E57E3D" w:rsidRPr="00143733">
        <w:rPr>
          <w:rFonts w:ascii="Verdana" w:hAnsi="Verdana"/>
          <w:bCs/>
          <w:iCs/>
          <w:kern w:val="0"/>
        </w:rPr>
        <w:t>2</w:t>
      </w:r>
      <w:r w:rsidRPr="00143733">
        <w:rPr>
          <w:rFonts w:ascii="Verdana" w:hAnsi="Verdana"/>
          <w:bCs/>
          <w:iCs/>
          <w:kern w:val="0"/>
        </w:rPr>
        <w:t>0</w:t>
      </w:r>
      <w:r w:rsidR="00E57E3D" w:rsidRPr="00143733">
        <w:rPr>
          <w:rFonts w:ascii="Verdana" w:hAnsi="Verdana"/>
          <w:bCs/>
          <w:iCs/>
          <w:kern w:val="0"/>
        </w:rPr>
        <w:t xml:space="preserve"> marzo</w:t>
      </w:r>
      <w:r w:rsidR="00D55F1E" w:rsidRPr="00143733">
        <w:rPr>
          <w:rFonts w:ascii="Verdana" w:hAnsi="Verdana"/>
          <w:bCs/>
          <w:iCs/>
          <w:kern w:val="0"/>
        </w:rPr>
        <w:t xml:space="preserve"> 202</w:t>
      </w:r>
      <w:r w:rsidR="007E6D2A" w:rsidRPr="00143733">
        <w:rPr>
          <w:rFonts w:ascii="Verdana" w:hAnsi="Verdana"/>
          <w:bCs/>
          <w:iCs/>
          <w:kern w:val="0"/>
        </w:rPr>
        <w:t>3</w:t>
      </w:r>
      <w:r w:rsidR="009C3240" w:rsidRPr="00143733">
        <w:rPr>
          <w:rFonts w:ascii="Verdana" w:hAnsi="Verdana"/>
          <w:bCs/>
          <w:iCs/>
          <w:kern w:val="0"/>
        </w:rPr>
        <w:t xml:space="preserve"> – Firenze è la città </w:t>
      </w:r>
      <w:r w:rsidR="00D0350F" w:rsidRPr="00143733">
        <w:rPr>
          <w:rFonts w:ascii="Verdana" w:hAnsi="Verdana"/>
          <w:bCs/>
          <w:iCs/>
          <w:kern w:val="0"/>
        </w:rPr>
        <w:t xml:space="preserve">metropolitana </w:t>
      </w:r>
      <w:r w:rsidR="009C3240" w:rsidRPr="00143733">
        <w:rPr>
          <w:rFonts w:ascii="Verdana" w:hAnsi="Verdana"/>
          <w:bCs/>
          <w:iCs/>
          <w:kern w:val="0"/>
        </w:rPr>
        <w:t xml:space="preserve">più </w:t>
      </w:r>
      <w:r w:rsidR="00D0350F" w:rsidRPr="00143733">
        <w:rPr>
          <w:rFonts w:ascii="Verdana" w:hAnsi="Verdana"/>
          <w:bCs/>
          <w:iCs/>
          <w:kern w:val="0"/>
        </w:rPr>
        <w:t>“</w:t>
      </w:r>
      <w:proofErr w:type="spellStart"/>
      <w:r w:rsidR="009C3240" w:rsidRPr="00143733">
        <w:rPr>
          <w:rFonts w:ascii="Verdana" w:hAnsi="Verdana"/>
          <w:bCs/>
          <w:iCs/>
          <w:kern w:val="0"/>
        </w:rPr>
        <w:t>cashless</w:t>
      </w:r>
      <w:proofErr w:type="spellEnd"/>
      <w:r w:rsidR="00D0350F" w:rsidRPr="00143733">
        <w:rPr>
          <w:rFonts w:ascii="Verdana" w:hAnsi="Verdana"/>
          <w:bCs/>
          <w:iCs/>
          <w:kern w:val="0"/>
        </w:rPr>
        <w:t>”</w:t>
      </w:r>
      <w:r w:rsidR="009C3240" w:rsidRPr="00143733">
        <w:rPr>
          <w:rFonts w:ascii="Verdana" w:hAnsi="Verdana"/>
          <w:bCs/>
          <w:iCs/>
          <w:kern w:val="0"/>
        </w:rPr>
        <w:t xml:space="preserve"> d’It</w:t>
      </w:r>
      <w:r w:rsidR="00272179">
        <w:rPr>
          <w:rFonts w:ascii="Verdana" w:hAnsi="Verdana"/>
          <w:bCs/>
          <w:iCs/>
          <w:kern w:val="0"/>
        </w:rPr>
        <w:t xml:space="preserve">alia </w:t>
      </w:r>
      <w:r w:rsidR="009C3240" w:rsidRPr="00143733">
        <w:rPr>
          <w:rFonts w:ascii="Verdana" w:hAnsi="Verdana"/>
          <w:bCs/>
          <w:iCs/>
          <w:kern w:val="0"/>
        </w:rPr>
        <w:t>e la Toscana è terza tra le regioni, dopo Lombardia e Piemonte</w:t>
      </w:r>
      <w:r w:rsidR="0074346D">
        <w:rPr>
          <w:rFonts w:ascii="Verdana" w:hAnsi="Verdana"/>
          <w:bCs/>
          <w:iCs/>
          <w:kern w:val="0"/>
        </w:rPr>
        <w:t>,</w:t>
      </w:r>
      <w:r w:rsidR="00D0350F" w:rsidRPr="00143733">
        <w:rPr>
          <w:rFonts w:ascii="Verdana" w:hAnsi="Verdana"/>
          <w:bCs/>
          <w:iCs/>
          <w:kern w:val="0"/>
        </w:rPr>
        <w:t xml:space="preserve"> nella speciale classifica dell’Osservatorio della Community </w:t>
      </w:r>
      <w:proofErr w:type="spellStart"/>
      <w:r w:rsidR="005F5386">
        <w:rPr>
          <w:rFonts w:ascii="Verdana" w:hAnsi="Verdana"/>
          <w:bCs/>
          <w:iCs/>
          <w:kern w:val="0"/>
        </w:rPr>
        <w:t>c</w:t>
      </w:r>
      <w:r w:rsidR="00D0350F" w:rsidRPr="00143733">
        <w:rPr>
          <w:rFonts w:ascii="Verdana" w:hAnsi="Verdana"/>
          <w:bCs/>
          <w:iCs/>
          <w:kern w:val="0"/>
        </w:rPr>
        <w:t>ashless</w:t>
      </w:r>
      <w:proofErr w:type="spellEnd"/>
      <w:r w:rsidR="00D0350F" w:rsidRPr="00143733">
        <w:rPr>
          <w:rFonts w:ascii="Verdana" w:hAnsi="Verdana"/>
          <w:bCs/>
          <w:iCs/>
          <w:kern w:val="0"/>
        </w:rPr>
        <w:t xml:space="preserve"> </w:t>
      </w:r>
      <w:r w:rsidR="005F5386">
        <w:rPr>
          <w:rFonts w:ascii="Verdana" w:hAnsi="Verdana"/>
          <w:bCs/>
          <w:iCs/>
          <w:kern w:val="0"/>
        </w:rPr>
        <w:t>s</w:t>
      </w:r>
      <w:r w:rsidR="00D0350F" w:rsidRPr="00143733">
        <w:rPr>
          <w:rFonts w:ascii="Verdana" w:hAnsi="Verdana"/>
          <w:bCs/>
          <w:iCs/>
          <w:kern w:val="0"/>
        </w:rPr>
        <w:t xml:space="preserve">ociety elaborata da The </w:t>
      </w:r>
      <w:proofErr w:type="spellStart"/>
      <w:r w:rsidR="005F5386">
        <w:rPr>
          <w:rFonts w:ascii="Verdana" w:hAnsi="Verdana"/>
          <w:bCs/>
          <w:iCs/>
          <w:kern w:val="0"/>
        </w:rPr>
        <w:t>e</w:t>
      </w:r>
      <w:r w:rsidR="00D0350F" w:rsidRPr="00143733">
        <w:rPr>
          <w:rFonts w:ascii="Verdana" w:hAnsi="Verdana"/>
          <w:bCs/>
          <w:iCs/>
          <w:kern w:val="0"/>
        </w:rPr>
        <w:t>ur</w:t>
      </w:r>
      <w:r w:rsidR="00A346EA">
        <w:rPr>
          <w:rFonts w:ascii="Verdana" w:hAnsi="Verdana"/>
          <w:bCs/>
          <w:iCs/>
          <w:kern w:val="0"/>
        </w:rPr>
        <w:t>o</w:t>
      </w:r>
      <w:r w:rsidR="00D0350F" w:rsidRPr="00143733">
        <w:rPr>
          <w:rFonts w:ascii="Verdana" w:hAnsi="Verdana"/>
          <w:bCs/>
          <w:iCs/>
          <w:kern w:val="0"/>
        </w:rPr>
        <w:t>pean</w:t>
      </w:r>
      <w:proofErr w:type="spellEnd"/>
      <w:r w:rsidR="00D0350F" w:rsidRPr="00143733">
        <w:rPr>
          <w:rFonts w:ascii="Verdana" w:hAnsi="Verdana"/>
          <w:bCs/>
          <w:iCs/>
          <w:kern w:val="0"/>
        </w:rPr>
        <w:t xml:space="preserve"> </w:t>
      </w:r>
      <w:proofErr w:type="spellStart"/>
      <w:r w:rsidR="005F5386">
        <w:rPr>
          <w:rFonts w:ascii="Verdana" w:hAnsi="Verdana"/>
          <w:bCs/>
          <w:iCs/>
          <w:kern w:val="0"/>
        </w:rPr>
        <w:t>h</w:t>
      </w:r>
      <w:r w:rsidR="00D0350F" w:rsidRPr="00143733">
        <w:rPr>
          <w:rFonts w:ascii="Verdana" w:hAnsi="Verdana"/>
          <w:bCs/>
          <w:iCs/>
          <w:kern w:val="0"/>
        </w:rPr>
        <w:t>ouse</w:t>
      </w:r>
      <w:proofErr w:type="spellEnd"/>
      <w:r w:rsidR="00D0350F" w:rsidRPr="00143733">
        <w:rPr>
          <w:rFonts w:ascii="Verdana" w:hAnsi="Verdana"/>
          <w:bCs/>
          <w:iCs/>
          <w:kern w:val="0"/>
        </w:rPr>
        <w:t xml:space="preserve"> Ambrosetti</w:t>
      </w:r>
      <w:r w:rsidR="009C3240" w:rsidRPr="00143733">
        <w:rPr>
          <w:rFonts w:ascii="Verdana" w:hAnsi="Verdana"/>
          <w:bCs/>
          <w:iCs/>
          <w:kern w:val="0"/>
        </w:rPr>
        <w:t>. Una transizione</w:t>
      </w:r>
      <w:r w:rsidR="009C3240" w:rsidRPr="00650AAD">
        <w:rPr>
          <w:rFonts w:ascii="Verdana" w:hAnsi="Verdana"/>
          <w:bCs/>
          <w:iCs/>
          <w:kern w:val="0"/>
        </w:rPr>
        <w:t xml:space="preserve">, quella dai pagamenti in denaro ai pagamenti digitali, che vede la Città metropolitana e la Camera di commercio di </w:t>
      </w:r>
      <w:bookmarkStart w:id="1" w:name="_GoBack"/>
      <w:bookmarkEnd w:id="1"/>
      <w:r w:rsidR="009C3240" w:rsidRPr="00650AAD">
        <w:rPr>
          <w:rFonts w:ascii="Verdana" w:hAnsi="Verdana"/>
          <w:bCs/>
          <w:iCs/>
          <w:kern w:val="0"/>
        </w:rPr>
        <w:t xml:space="preserve">Firenze in prima linea per aiutare le imprese in questo passaggio decisivo e di cui si è parlato oggi </w:t>
      </w:r>
      <w:r w:rsidR="00650AAD">
        <w:rPr>
          <w:rFonts w:ascii="Verdana" w:hAnsi="Verdana"/>
          <w:bCs/>
          <w:iCs/>
          <w:kern w:val="0"/>
        </w:rPr>
        <w:t>in</w:t>
      </w:r>
      <w:r w:rsidR="009C3240" w:rsidRPr="00650AAD">
        <w:rPr>
          <w:rFonts w:ascii="Verdana" w:hAnsi="Verdana"/>
          <w:bCs/>
          <w:iCs/>
          <w:kern w:val="0"/>
        </w:rPr>
        <w:t xml:space="preserve"> Camera di commercio con il contributo di Intesa Sanpaolo</w:t>
      </w:r>
      <w:r w:rsidR="009C3240" w:rsidRPr="00143733">
        <w:rPr>
          <w:rFonts w:ascii="Verdana" w:hAnsi="Verdana"/>
          <w:bCs/>
          <w:iCs/>
          <w:kern w:val="0"/>
        </w:rPr>
        <w:t xml:space="preserve">, </w:t>
      </w:r>
      <w:r w:rsidR="007C739E" w:rsidRPr="00143733">
        <w:rPr>
          <w:rFonts w:ascii="Verdana" w:hAnsi="Verdana"/>
          <w:bCs/>
          <w:iCs/>
          <w:kern w:val="0"/>
        </w:rPr>
        <w:t>primo gruppo bancario italiano</w:t>
      </w:r>
      <w:r w:rsidR="005F5386">
        <w:rPr>
          <w:rFonts w:ascii="Verdana" w:hAnsi="Verdana"/>
          <w:bCs/>
          <w:iCs/>
          <w:kern w:val="0"/>
        </w:rPr>
        <w:t>,</w:t>
      </w:r>
      <w:r w:rsidR="007C739E" w:rsidRPr="00143733">
        <w:rPr>
          <w:rFonts w:ascii="Verdana" w:hAnsi="Verdana"/>
          <w:bCs/>
          <w:iCs/>
          <w:kern w:val="0"/>
        </w:rPr>
        <w:t xml:space="preserve"> attivo da tempo nel dare supporto </w:t>
      </w:r>
      <w:r w:rsidR="007C739E" w:rsidRPr="00143733">
        <w:rPr>
          <w:rFonts w:ascii="Verdana" w:eastAsia="Times New Roman" w:hAnsi="Verdana"/>
        </w:rPr>
        <w:t>alle piccole e piccolissime aziende e agli operatori economici verso una sempre maggiore digitalizzazione nei pagamenti.</w:t>
      </w:r>
    </w:p>
    <w:p w14:paraId="0DB126D2" w14:textId="77777777" w:rsidR="00F137F0" w:rsidRPr="00F137F0" w:rsidRDefault="00F137F0" w:rsidP="00F13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543"/>
        <w:jc w:val="both"/>
        <w:rPr>
          <w:rFonts w:ascii="Verdana" w:hAnsi="Verdana"/>
          <w:bCs/>
          <w:spacing w:val="-2"/>
          <w:sz w:val="14"/>
          <w:szCs w:val="14"/>
        </w:rPr>
      </w:pPr>
    </w:p>
    <w:p w14:paraId="21DB5E4B" w14:textId="3C675161" w:rsidR="00023716" w:rsidRPr="003264E2" w:rsidRDefault="00DB7183" w:rsidP="00F13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543"/>
        <w:jc w:val="both"/>
        <w:rPr>
          <w:rFonts w:ascii="Verdana" w:eastAsia="Times New Roman" w:hAnsi="Verdana"/>
          <w:spacing w:val="-2"/>
        </w:rPr>
      </w:pPr>
      <w:r w:rsidRPr="003264E2">
        <w:rPr>
          <w:rFonts w:ascii="Verdana" w:hAnsi="Verdana"/>
          <w:bCs/>
          <w:spacing w:val="-2"/>
        </w:rPr>
        <w:t>Alla presenza del s</w:t>
      </w:r>
      <w:r w:rsidR="00962FC6" w:rsidRPr="003264E2">
        <w:rPr>
          <w:rFonts w:ascii="Verdana" w:hAnsi="Verdana"/>
          <w:bCs/>
          <w:spacing w:val="-2"/>
        </w:rPr>
        <w:t>indaco d</w:t>
      </w:r>
      <w:r w:rsidR="0074346D">
        <w:rPr>
          <w:rFonts w:ascii="Verdana" w:hAnsi="Verdana"/>
          <w:bCs/>
          <w:spacing w:val="-2"/>
        </w:rPr>
        <w:t>ella Città metropolitana</w:t>
      </w:r>
      <w:r w:rsidRPr="003264E2">
        <w:rPr>
          <w:rFonts w:ascii="Verdana" w:hAnsi="Verdana"/>
          <w:bCs/>
          <w:spacing w:val="-2"/>
        </w:rPr>
        <w:t>,</w:t>
      </w:r>
      <w:r w:rsidR="005A246A" w:rsidRPr="003264E2">
        <w:rPr>
          <w:rFonts w:ascii="Verdana" w:hAnsi="Verdana"/>
          <w:bCs/>
          <w:spacing w:val="-2"/>
        </w:rPr>
        <w:t xml:space="preserve"> </w:t>
      </w:r>
      <w:r w:rsidRPr="003264E2">
        <w:rPr>
          <w:rFonts w:ascii="Verdana" w:hAnsi="Verdana"/>
          <w:bCs/>
          <w:spacing w:val="-2"/>
        </w:rPr>
        <w:t xml:space="preserve">Dario Nardella, del presidente della Camera di </w:t>
      </w:r>
      <w:r w:rsidR="005F5386">
        <w:rPr>
          <w:rFonts w:ascii="Verdana" w:hAnsi="Verdana"/>
          <w:bCs/>
          <w:spacing w:val="-2"/>
        </w:rPr>
        <w:t>c</w:t>
      </w:r>
      <w:r w:rsidR="00962FC6" w:rsidRPr="003264E2">
        <w:rPr>
          <w:rFonts w:ascii="Verdana" w:hAnsi="Verdana"/>
          <w:bCs/>
          <w:spacing w:val="-2"/>
        </w:rPr>
        <w:t xml:space="preserve">ommercio di Firenze, Leonardo </w:t>
      </w:r>
      <w:proofErr w:type="spellStart"/>
      <w:r w:rsidR="00962FC6" w:rsidRPr="003264E2">
        <w:rPr>
          <w:rFonts w:ascii="Verdana" w:hAnsi="Verdana"/>
          <w:bCs/>
          <w:spacing w:val="-2"/>
        </w:rPr>
        <w:t>Bassilichi</w:t>
      </w:r>
      <w:proofErr w:type="spellEnd"/>
      <w:r w:rsidR="00962FC6" w:rsidRPr="003264E2">
        <w:rPr>
          <w:rFonts w:ascii="Verdana" w:hAnsi="Verdana"/>
          <w:bCs/>
          <w:spacing w:val="-2"/>
        </w:rPr>
        <w:t>, e di Stefano Barrese</w:t>
      </w:r>
      <w:r w:rsidR="00962FC6" w:rsidRPr="003264E2">
        <w:rPr>
          <w:rFonts w:ascii="Verdana" w:hAnsi="Verdana"/>
          <w:b/>
          <w:i/>
          <w:iCs/>
          <w:spacing w:val="-2"/>
        </w:rPr>
        <w:t xml:space="preserve"> </w:t>
      </w:r>
      <w:r w:rsidR="00962FC6" w:rsidRPr="003264E2">
        <w:rPr>
          <w:rFonts w:ascii="Verdana" w:hAnsi="Verdana"/>
          <w:bCs/>
          <w:spacing w:val="-2"/>
        </w:rPr>
        <w:t xml:space="preserve">responsabile </w:t>
      </w:r>
      <w:r w:rsidR="0074346D">
        <w:rPr>
          <w:rFonts w:ascii="Verdana" w:hAnsi="Verdana"/>
          <w:bCs/>
          <w:spacing w:val="-2"/>
        </w:rPr>
        <w:t>divisione Banca dei T</w:t>
      </w:r>
      <w:r w:rsidR="00962FC6" w:rsidRPr="003264E2">
        <w:rPr>
          <w:rFonts w:ascii="Verdana" w:hAnsi="Verdana"/>
          <w:bCs/>
          <w:spacing w:val="-2"/>
        </w:rPr>
        <w:t>erritori di Intesa Sanpaolo, è stato evidenziato</w:t>
      </w:r>
      <w:r w:rsidR="00A2338A" w:rsidRPr="003264E2">
        <w:rPr>
          <w:rFonts w:ascii="Verdana" w:hAnsi="Verdana"/>
          <w:bCs/>
          <w:spacing w:val="-2"/>
        </w:rPr>
        <w:t xml:space="preserve"> il comune obiettivo di cogliere e </w:t>
      </w:r>
      <w:r w:rsidR="00A2338A" w:rsidRPr="003264E2">
        <w:rPr>
          <w:rFonts w:ascii="Verdana" w:eastAsia="Times New Roman" w:hAnsi="Verdana"/>
          <w:spacing w:val="-2"/>
        </w:rPr>
        <w:t xml:space="preserve">rafforzare il ruolo di Firenze come città </w:t>
      </w:r>
      <w:r w:rsidR="00272179">
        <w:rPr>
          <w:rFonts w:ascii="Verdana" w:eastAsia="Times New Roman" w:hAnsi="Verdana"/>
          <w:spacing w:val="-2"/>
        </w:rPr>
        <w:t xml:space="preserve">metropolitana </w:t>
      </w:r>
      <w:r w:rsidR="00A2338A" w:rsidRPr="003264E2">
        <w:rPr>
          <w:rFonts w:ascii="Verdana" w:eastAsia="Times New Roman" w:hAnsi="Verdana"/>
          <w:spacing w:val="-2"/>
        </w:rPr>
        <w:t>prima in Italia per transazioni digitali.</w:t>
      </w:r>
      <w:r w:rsidR="006F70D5" w:rsidRPr="003264E2">
        <w:rPr>
          <w:rFonts w:ascii="Verdana" w:eastAsia="Times New Roman" w:hAnsi="Verdana"/>
          <w:spacing w:val="-2"/>
        </w:rPr>
        <w:t xml:space="preserve"> </w:t>
      </w:r>
      <w:r w:rsidR="00A346EA" w:rsidRPr="003264E2">
        <w:rPr>
          <w:rFonts w:ascii="Verdana" w:hAnsi="Verdana"/>
          <w:bCs/>
          <w:spacing w:val="-2"/>
          <w:kern w:val="0"/>
        </w:rPr>
        <w:t xml:space="preserve">L’iniziativa “Firenze </w:t>
      </w:r>
      <w:proofErr w:type="spellStart"/>
      <w:r w:rsidR="00A346EA" w:rsidRPr="003264E2">
        <w:rPr>
          <w:rFonts w:ascii="Verdana" w:hAnsi="Verdana"/>
          <w:bCs/>
          <w:spacing w:val="-2"/>
          <w:kern w:val="0"/>
        </w:rPr>
        <w:t>Cashless</w:t>
      </w:r>
      <w:proofErr w:type="spellEnd"/>
      <w:r w:rsidR="00A346EA" w:rsidRPr="003264E2">
        <w:rPr>
          <w:rFonts w:ascii="Verdana" w:hAnsi="Verdana"/>
          <w:bCs/>
          <w:spacing w:val="-2"/>
          <w:kern w:val="0"/>
        </w:rPr>
        <w:t xml:space="preserve">” di Intesa Sanpaolo va in questa direzione e apre la strada anche agli altri istituti di credito, </w:t>
      </w:r>
      <w:r w:rsidR="00A346EA" w:rsidRPr="003264E2">
        <w:rPr>
          <w:rFonts w:ascii="Verdana" w:eastAsia="Times New Roman" w:hAnsi="Verdana"/>
          <w:spacing w:val="-2"/>
        </w:rPr>
        <w:t>con azioni concrete per abbattere i costi sostenuti</w:t>
      </w:r>
      <w:r w:rsidR="00A346EA" w:rsidRPr="003264E2">
        <w:rPr>
          <w:rFonts w:eastAsia="Times New Roman"/>
          <w:spacing w:val="-2"/>
          <w:sz w:val="26"/>
          <w:szCs w:val="26"/>
        </w:rPr>
        <w:t xml:space="preserve"> </w:t>
      </w:r>
      <w:r w:rsidR="00A346EA" w:rsidRPr="003264E2">
        <w:rPr>
          <w:rFonts w:ascii="Verdana" w:eastAsia="Times New Roman" w:hAnsi="Verdana"/>
          <w:spacing w:val="-2"/>
        </w:rPr>
        <w:t>da operatori ed esercenti principalmente del commercio e del turismo</w:t>
      </w:r>
      <w:r w:rsidR="00E075DD" w:rsidRPr="003264E2">
        <w:rPr>
          <w:rFonts w:ascii="Verdana" w:eastAsia="Times New Roman" w:hAnsi="Verdana"/>
          <w:spacing w:val="-2"/>
        </w:rPr>
        <w:t>.</w:t>
      </w:r>
    </w:p>
    <w:p w14:paraId="296B5C76" w14:textId="77777777" w:rsidR="00F137F0" w:rsidRPr="00F137F0" w:rsidRDefault="00F137F0" w:rsidP="00F137F0">
      <w:pPr>
        <w:ind w:left="284" w:right="544"/>
        <w:jc w:val="both"/>
        <w:rPr>
          <w:rFonts w:ascii="Verdana" w:hAnsi="Verdana"/>
          <w:bCs/>
          <w:spacing w:val="-2"/>
          <w:kern w:val="0"/>
          <w:sz w:val="14"/>
          <w:szCs w:val="14"/>
        </w:rPr>
      </w:pPr>
      <w:bookmarkStart w:id="2" w:name="_Toc31032233"/>
      <w:bookmarkStart w:id="3" w:name="_Toc39671938"/>
    </w:p>
    <w:p w14:paraId="72215809" w14:textId="676C49EF" w:rsidR="009079BA" w:rsidRPr="003264E2" w:rsidRDefault="00DB7183" w:rsidP="00F137F0">
      <w:pPr>
        <w:ind w:left="284" w:right="544"/>
        <w:jc w:val="both"/>
        <w:rPr>
          <w:rFonts w:ascii="Verdana" w:hAnsi="Verdana"/>
          <w:bCs/>
          <w:spacing w:val="-2"/>
          <w:kern w:val="0"/>
        </w:rPr>
      </w:pPr>
      <w:r w:rsidRPr="00B85116">
        <w:rPr>
          <w:rFonts w:ascii="Verdana" w:hAnsi="Verdana"/>
          <w:bCs/>
          <w:spacing w:val="-2"/>
          <w:kern w:val="0"/>
        </w:rPr>
        <w:t>N</w:t>
      </w:r>
      <w:r w:rsidR="009079BA" w:rsidRPr="00B85116">
        <w:rPr>
          <w:rFonts w:ascii="Verdana" w:hAnsi="Verdana"/>
          <w:bCs/>
          <w:spacing w:val="-2"/>
          <w:kern w:val="0"/>
        </w:rPr>
        <w:t>egli ultimi anni</w:t>
      </w:r>
      <w:r w:rsidR="00314C16" w:rsidRPr="00B85116">
        <w:rPr>
          <w:rFonts w:ascii="Verdana" w:hAnsi="Verdana"/>
          <w:bCs/>
          <w:spacing w:val="-2"/>
          <w:kern w:val="0"/>
        </w:rPr>
        <w:t xml:space="preserve"> </w:t>
      </w:r>
      <w:r w:rsidR="009079BA" w:rsidRPr="00B85116">
        <w:rPr>
          <w:rFonts w:ascii="Verdana" w:hAnsi="Verdana"/>
          <w:bCs/>
          <w:spacing w:val="-2"/>
          <w:kern w:val="0"/>
        </w:rPr>
        <w:t>si sono verificati cambiamenti importanti che hanno accelera</w:t>
      </w:r>
      <w:r w:rsidR="005F5386" w:rsidRPr="00B85116">
        <w:rPr>
          <w:rFonts w:ascii="Verdana" w:hAnsi="Verdana"/>
          <w:bCs/>
          <w:spacing w:val="-2"/>
          <w:kern w:val="0"/>
        </w:rPr>
        <w:t>to</w:t>
      </w:r>
      <w:r w:rsidR="009079BA" w:rsidRPr="00B85116">
        <w:rPr>
          <w:rFonts w:ascii="Verdana" w:hAnsi="Verdana"/>
          <w:bCs/>
          <w:spacing w:val="-2"/>
          <w:kern w:val="0"/>
        </w:rPr>
        <w:t xml:space="preserve"> l’utilizzo</w:t>
      </w:r>
      <w:r w:rsidR="009079BA" w:rsidRPr="003264E2">
        <w:rPr>
          <w:rFonts w:ascii="Verdana" w:hAnsi="Verdana"/>
          <w:bCs/>
          <w:spacing w:val="-2"/>
          <w:kern w:val="0"/>
        </w:rPr>
        <w:t xml:space="preserve"> dei pagamenti digitali: oltre ai rapidi sviluppi delle tecnologie, la spinta principale si è avuta con l’emergenza sanitaria e con l’introduzione di norme legate </w:t>
      </w:r>
      <w:r w:rsidR="009079BA" w:rsidRPr="005F5386">
        <w:rPr>
          <w:rFonts w:ascii="Verdana" w:hAnsi="Verdana"/>
          <w:bCs/>
          <w:spacing w:val="-4"/>
          <w:kern w:val="0"/>
        </w:rPr>
        <w:t>ai sistemi di pagamento</w:t>
      </w:r>
      <w:r w:rsidRPr="005F5386">
        <w:rPr>
          <w:rFonts w:ascii="Verdana" w:hAnsi="Verdana"/>
          <w:bCs/>
          <w:spacing w:val="-4"/>
          <w:kern w:val="0"/>
        </w:rPr>
        <w:t>,</w:t>
      </w:r>
      <w:r w:rsidR="009079BA" w:rsidRPr="005F5386">
        <w:rPr>
          <w:rFonts w:ascii="Verdana" w:hAnsi="Verdana"/>
          <w:bCs/>
          <w:spacing w:val="-4"/>
          <w:kern w:val="0"/>
        </w:rPr>
        <w:t xml:space="preserve"> </w:t>
      </w:r>
      <w:r w:rsidR="009079BA" w:rsidRPr="00B85116">
        <w:rPr>
          <w:rFonts w:ascii="Verdana" w:hAnsi="Verdana"/>
          <w:bCs/>
          <w:spacing w:val="-4"/>
          <w:kern w:val="0"/>
        </w:rPr>
        <w:t>d</w:t>
      </w:r>
      <w:r w:rsidR="005F5386" w:rsidRPr="00B85116">
        <w:rPr>
          <w:rFonts w:ascii="Verdana" w:hAnsi="Verdana"/>
          <w:bCs/>
          <w:spacing w:val="-4"/>
          <w:kern w:val="0"/>
        </w:rPr>
        <w:t>a</w:t>
      </w:r>
      <w:r w:rsidR="009079BA" w:rsidRPr="00B85116">
        <w:rPr>
          <w:rFonts w:ascii="Verdana" w:hAnsi="Verdana"/>
          <w:bCs/>
          <w:spacing w:val="-4"/>
          <w:kern w:val="0"/>
        </w:rPr>
        <w:t>lle sanzioni per la mancata accettazione dei pagamenti digitali</w:t>
      </w:r>
      <w:r w:rsidR="005F5386" w:rsidRPr="00B85116">
        <w:rPr>
          <w:rFonts w:ascii="Verdana" w:hAnsi="Verdana"/>
          <w:bCs/>
          <w:spacing w:val="-4"/>
          <w:kern w:val="0"/>
        </w:rPr>
        <w:t xml:space="preserve"> al</w:t>
      </w:r>
      <w:r w:rsidR="009079BA" w:rsidRPr="00B85116">
        <w:rPr>
          <w:rFonts w:ascii="Verdana" w:hAnsi="Verdana"/>
          <w:bCs/>
          <w:spacing w:val="-4"/>
          <w:kern w:val="0"/>
        </w:rPr>
        <w:t xml:space="preserve">l’attivazione del programma </w:t>
      </w:r>
      <w:proofErr w:type="spellStart"/>
      <w:r w:rsidR="009079BA" w:rsidRPr="00B85116">
        <w:rPr>
          <w:rFonts w:ascii="Verdana" w:hAnsi="Verdana"/>
          <w:bCs/>
          <w:spacing w:val="-4"/>
          <w:kern w:val="0"/>
        </w:rPr>
        <w:t>Cashback</w:t>
      </w:r>
      <w:proofErr w:type="spellEnd"/>
      <w:r w:rsidR="009079BA" w:rsidRPr="005F5386">
        <w:rPr>
          <w:rFonts w:ascii="Verdana" w:hAnsi="Verdana"/>
          <w:bCs/>
          <w:spacing w:val="-4"/>
          <w:kern w:val="0"/>
        </w:rPr>
        <w:t>.</w:t>
      </w:r>
      <w:r w:rsidR="005F5386" w:rsidRPr="005F5386">
        <w:rPr>
          <w:rFonts w:ascii="Verdana" w:hAnsi="Verdana"/>
          <w:bCs/>
          <w:spacing w:val="-4"/>
          <w:kern w:val="0"/>
        </w:rPr>
        <w:t xml:space="preserve"> </w:t>
      </w:r>
      <w:r w:rsidR="009079BA" w:rsidRPr="005F5386">
        <w:rPr>
          <w:rFonts w:ascii="Verdana" w:hAnsi="Verdana"/>
          <w:bCs/>
          <w:spacing w:val="-4"/>
          <w:kern w:val="0"/>
        </w:rPr>
        <w:t>Secondo le stim</w:t>
      </w:r>
      <w:r w:rsidRPr="005F5386">
        <w:rPr>
          <w:rFonts w:ascii="Verdana" w:hAnsi="Verdana"/>
          <w:bCs/>
          <w:spacing w:val="-4"/>
          <w:kern w:val="0"/>
        </w:rPr>
        <w:t>e dell’osservatorio</w:t>
      </w:r>
      <w:r w:rsidRPr="003264E2">
        <w:rPr>
          <w:rFonts w:ascii="Verdana" w:hAnsi="Verdana"/>
          <w:bCs/>
          <w:spacing w:val="-2"/>
          <w:kern w:val="0"/>
        </w:rPr>
        <w:t xml:space="preserve"> Innovative p</w:t>
      </w:r>
      <w:r w:rsidR="009079BA" w:rsidRPr="003264E2">
        <w:rPr>
          <w:rFonts w:ascii="Verdana" w:hAnsi="Verdana"/>
          <w:bCs/>
          <w:spacing w:val="-2"/>
          <w:kern w:val="0"/>
        </w:rPr>
        <w:t>ayments del Politecnico di Milano, nel 2021 si è registrata una cresc</w:t>
      </w:r>
      <w:r w:rsidR="00650AAD" w:rsidRPr="003264E2">
        <w:rPr>
          <w:rFonts w:ascii="Verdana" w:hAnsi="Verdana"/>
          <w:bCs/>
          <w:spacing w:val="-2"/>
          <w:kern w:val="0"/>
        </w:rPr>
        <w:t>ita del 23% in termini di valore</w:t>
      </w:r>
      <w:r w:rsidR="009079BA" w:rsidRPr="003264E2">
        <w:rPr>
          <w:rFonts w:ascii="Verdana" w:hAnsi="Verdana"/>
          <w:bCs/>
          <w:spacing w:val="-2"/>
          <w:kern w:val="0"/>
        </w:rPr>
        <w:t xml:space="preserve"> e del 34% sul numero di transazioni effettuate con pagamenti elettronici. Nel primo semestre 2022 (periodo in cui non era </w:t>
      </w:r>
      <w:r w:rsidR="0074346D">
        <w:rPr>
          <w:rFonts w:ascii="Verdana" w:hAnsi="Verdana"/>
          <w:bCs/>
          <w:spacing w:val="-2"/>
          <w:kern w:val="0"/>
        </w:rPr>
        <w:t xml:space="preserve">ancora in vigore l’obbligo del </w:t>
      </w:r>
      <w:proofErr w:type="spellStart"/>
      <w:r w:rsidR="0074346D">
        <w:rPr>
          <w:rFonts w:ascii="Verdana" w:hAnsi="Verdana"/>
          <w:bCs/>
          <w:spacing w:val="-2"/>
          <w:kern w:val="0"/>
        </w:rPr>
        <w:t>p</w:t>
      </w:r>
      <w:r w:rsidR="009079BA" w:rsidRPr="003264E2">
        <w:rPr>
          <w:rFonts w:ascii="Verdana" w:hAnsi="Verdana"/>
          <w:bCs/>
          <w:spacing w:val="-2"/>
          <w:kern w:val="0"/>
        </w:rPr>
        <w:t>os</w:t>
      </w:r>
      <w:proofErr w:type="spellEnd"/>
      <w:r w:rsidR="009079BA" w:rsidRPr="003264E2">
        <w:rPr>
          <w:rFonts w:ascii="Verdana" w:hAnsi="Verdana"/>
          <w:bCs/>
          <w:spacing w:val="-2"/>
          <w:kern w:val="0"/>
        </w:rPr>
        <w:t xml:space="preserve">), la crescita </w:t>
      </w:r>
      <w:r w:rsidRPr="003264E2">
        <w:rPr>
          <w:rFonts w:ascii="Verdana" w:hAnsi="Verdana"/>
          <w:bCs/>
          <w:spacing w:val="-2"/>
          <w:kern w:val="0"/>
        </w:rPr>
        <w:t>è rimasta</w:t>
      </w:r>
      <w:r w:rsidR="009079BA" w:rsidRPr="003264E2">
        <w:rPr>
          <w:rFonts w:ascii="Verdana" w:hAnsi="Verdana"/>
          <w:bCs/>
          <w:spacing w:val="-2"/>
          <w:kern w:val="0"/>
        </w:rPr>
        <w:t xml:space="preserve"> su livelli ancora significativi seppur in rallentamento</w:t>
      </w:r>
      <w:r w:rsidRPr="003264E2">
        <w:rPr>
          <w:rFonts w:ascii="Verdana" w:hAnsi="Verdana"/>
          <w:bCs/>
          <w:spacing w:val="-2"/>
          <w:kern w:val="0"/>
        </w:rPr>
        <w:t>,</w:t>
      </w:r>
      <w:r w:rsidR="009079BA" w:rsidRPr="003264E2">
        <w:rPr>
          <w:rFonts w:ascii="Verdana" w:hAnsi="Verdana"/>
          <w:bCs/>
          <w:spacing w:val="-2"/>
          <w:kern w:val="0"/>
        </w:rPr>
        <w:t xml:space="preserve"> con variazioni del 22% in valore e del 19% per numero.</w:t>
      </w:r>
    </w:p>
    <w:p w14:paraId="6BCDE519" w14:textId="77777777" w:rsidR="00F137F0" w:rsidRPr="00F137F0" w:rsidRDefault="00F137F0" w:rsidP="00F137F0">
      <w:pPr>
        <w:ind w:left="284" w:right="544"/>
        <w:jc w:val="both"/>
        <w:rPr>
          <w:rFonts w:ascii="Verdana" w:hAnsi="Verdana"/>
          <w:bCs/>
          <w:kern w:val="0"/>
          <w:sz w:val="14"/>
          <w:szCs w:val="14"/>
        </w:rPr>
      </w:pPr>
    </w:p>
    <w:p w14:paraId="6FB947F5" w14:textId="3DB9F1EC" w:rsidR="00D514BF" w:rsidRPr="00650AAD" w:rsidRDefault="00DB7183" w:rsidP="00F137F0">
      <w:pPr>
        <w:ind w:left="284" w:right="544"/>
        <w:jc w:val="both"/>
        <w:rPr>
          <w:rFonts w:ascii="Verdana" w:hAnsi="Verdana"/>
          <w:bCs/>
          <w:kern w:val="0"/>
        </w:rPr>
      </w:pPr>
      <w:r w:rsidRPr="00650AAD">
        <w:rPr>
          <w:rFonts w:ascii="Verdana" w:hAnsi="Verdana"/>
          <w:bCs/>
          <w:kern w:val="0"/>
        </w:rPr>
        <w:t>La</w:t>
      </w:r>
      <w:r w:rsidR="009079BA" w:rsidRPr="00650AAD">
        <w:rPr>
          <w:rFonts w:ascii="Verdana" w:hAnsi="Verdana"/>
          <w:bCs/>
          <w:kern w:val="0"/>
        </w:rPr>
        <w:t xml:space="preserve"> te</w:t>
      </w:r>
      <w:r w:rsidRPr="00650AAD">
        <w:rPr>
          <w:rFonts w:ascii="Verdana" w:hAnsi="Verdana"/>
          <w:bCs/>
          <w:kern w:val="0"/>
        </w:rPr>
        <w:t>ndenza si conferma anche tra i P</w:t>
      </w:r>
      <w:r w:rsidR="009079BA" w:rsidRPr="00650AAD">
        <w:rPr>
          <w:rFonts w:ascii="Verdana" w:hAnsi="Verdana"/>
          <w:bCs/>
          <w:kern w:val="0"/>
        </w:rPr>
        <w:t>aesi dell’area euro: secondo uno stud</w:t>
      </w:r>
      <w:r w:rsidRPr="00650AAD">
        <w:rPr>
          <w:rFonts w:ascii="Verdana" w:hAnsi="Verdana"/>
          <w:bCs/>
          <w:kern w:val="0"/>
        </w:rPr>
        <w:t>io della Banca centrale e</w:t>
      </w:r>
      <w:r w:rsidR="009079BA" w:rsidRPr="00650AAD">
        <w:rPr>
          <w:rFonts w:ascii="Verdana" w:hAnsi="Verdana"/>
          <w:bCs/>
          <w:kern w:val="0"/>
        </w:rPr>
        <w:t>uropea</w:t>
      </w:r>
      <w:r w:rsidR="00650AAD">
        <w:rPr>
          <w:rFonts w:ascii="Verdana" w:hAnsi="Verdana"/>
          <w:bCs/>
          <w:kern w:val="0"/>
        </w:rPr>
        <w:t>,</w:t>
      </w:r>
      <w:r w:rsidR="009079BA" w:rsidRPr="00650AAD">
        <w:rPr>
          <w:rFonts w:ascii="Verdana" w:hAnsi="Verdana"/>
          <w:bCs/>
          <w:kern w:val="0"/>
        </w:rPr>
        <w:t xml:space="preserve"> pubblicato a dicembre dello scorso an</w:t>
      </w:r>
      <w:r w:rsidR="00650AAD">
        <w:rPr>
          <w:rFonts w:ascii="Verdana" w:hAnsi="Verdana"/>
          <w:bCs/>
          <w:kern w:val="0"/>
        </w:rPr>
        <w:t>no, nel periodo 2019-2022 nell’e</w:t>
      </w:r>
      <w:r w:rsidR="009079BA" w:rsidRPr="00650AAD">
        <w:rPr>
          <w:rFonts w:ascii="Verdana" w:hAnsi="Verdana"/>
          <w:bCs/>
          <w:kern w:val="0"/>
        </w:rPr>
        <w:t>urozona i pagamenti in contanti effettu</w:t>
      </w:r>
      <w:r w:rsidRPr="00650AAD">
        <w:rPr>
          <w:rFonts w:ascii="Verdana" w:hAnsi="Verdana"/>
          <w:bCs/>
          <w:kern w:val="0"/>
        </w:rPr>
        <w:t>ati presso punti vendita fisici</w:t>
      </w:r>
      <w:r w:rsidR="009079BA" w:rsidRPr="00650AAD">
        <w:rPr>
          <w:rFonts w:ascii="Verdana" w:hAnsi="Verdana"/>
          <w:bCs/>
          <w:kern w:val="0"/>
        </w:rPr>
        <w:t xml:space="preserve"> sono passati dal 72% al 59% (erano al 79% nel 2016) e per oltre un terzo sono stati effettuati tramite carta (34%), con una crescita di 15 punti percentuali rispetto al 2016. Anche i pagam</w:t>
      </w:r>
      <w:r w:rsidR="0074346D">
        <w:rPr>
          <w:rFonts w:ascii="Verdana" w:hAnsi="Verdana"/>
          <w:bCs/>
          <w:kern w:val="0"/>
        </w:rPr>
        <w:t xml:space="preserve">enti tramite </w:t>
      </w:r>
      <w:proofErr w:type="spellStart"/>
      <w:r w:rsidR="0074346D">
        <w:rPr>
          <w:rFonts w:ascii="Verdana" w:hAnsi="Verdana"/>
          <w:bCs/>
          <w:kern w:val="0"/>
        </w:rPr>
        <w:t>app</w:t>
      </w:r>
      <w:proofErr w:type="spellEnd"/>
      <w:r w:rsidR="0074346D">
        <w:rPr>
          <w:rFonts w:ascii="Verdana" w:hAnsi="Verdana"/>
          <w:bCs/>
          <w:kern w:val="0"/>
        </w:rPr>
        <w:t xml:space="preserve"> sono aumentati, </w:t>
      </w:r>
      <w:r w:rsidR="009079BA" w:rsidRPr="00650AAD">
        <w:rPr>
          <w:rFonts w:ascii="Verdana" w:hAnsi="Verdana"/>
          <w:bCs/>
          <w:kern w:val="0"/>
        </w:rPr>
        <w:t>passando da meno dell’1% nel 2019 al 3% nel 2022.</w:t>
      </w:r>
      <w:r w:rsidRPr="00650AAD">
        <w:rPr>
          <w:rFonts w:ascii="Verdana" w:hAnsi="Verdana"/>
          <w:bCs/>
          <w:kern w:val="0"/>
        </w:rPr>
        <w:t xml:space="preserve"> Per quanto riguarda il</w:t>
      </w:r>
      <w:r w:rsidR="009079BA" w:rsidRPr="00650AAD">
        <w:rPr>
          <w:rFonts w:ascii="Verdana" w:hAnsi="Verdana"/>
          <w:bCs/>
          <w:kern w:val="0"/>
        </w:rPr>
        <w:t xml:space="preserve"> valore dei pagamenti, invece, le carte hanno ormai supe</w:t>
      </w:r>
      <w:r w:rsidR="00D514BF" w:rsidRPr="00650AAD">
        <w:rPr>
          <w:rFonts w:ascii="Verdana" w:hAnsi="Verdana"/>
          <w:bCs/>
          <w:kern w:val="0"/>
        </w:rPr>
        <w:t xml:space="preserve">rato il contante </w:t>
      </w:r>
      <w:r w:rsidR="009079BA" w:rsidRPr="00650AAD">
        <w:rPr>
          <w:rFonts w:ascii="Verdana" w:hAnsi="Verdana"/>
          <w:bCs/>
          <w:kern w:val="0"/>
        </w:rPr>
        <w:t xml:space="preserve">con un peso del 46% rispetto al 42% dei pagamenti in </w:t>
      </w:r>
      <w:r w:rsidR="00D514BF" w:rsidRPr="00650AAD">
        <w:rPr>
          <w:rFonts w:ascii="Verdana" w:hAnsi="Verdana"/>
          <w:bCs/>
          <w:kern w:val="0"/>
        </w:rPr>
        <w:t>denaro</w:t>
      </w:r>
      <w:r w:rsidR="009079BA" w:rsidRPr="00650AAD">
        <w:rPr>
          <w:rFonts w:ascii="Verdana" w:hAnsi="Verdana"/>
          <w:bCs/>
          <w:kern w:val="0"/>
        </w:rPr>
        <w:t xml:space="preserve">. </w:t>
      </w:r>
    </w:p>
    <w:p w14:paraId="6A7B1DB8" w14:textId="77777777" w:rsidR="00F137F0" w:rsidRPr="00F137F0" w:rsidRDefault="00F137F0" w:rsidP="00F137F0">
      <w:pPr>
        <w:ind w:left="284" w:right="544"/>
        <w:jc w:val="both"/>
        <w:rPr>
          <w:rFonts w:ascii="Verdana" w:hAnsi="Verdana"/>
          <w:bCs/>
          <w:kern w:val="0"/>
          <w:sz w:val="14"/>
          <w:szCs w:val="14"/>
        </w:rPr>
      </w:pPr>
    </w:p>
    <w:p w14:paraId="043B5812" w14:textId="54DAD71C" w:rsidR="009079BA" w:rsidRPr="00650AAD" w:rsidRDefault="00D514BF" w:rsidP="00F137F0">
      <w:pPr>
        <w:ind w:left="284" w:right="544"/>
        <w:jc w:val="both"/>
        <w:rPr>
          <w:rFonts w:ascii="Verdana" w:hAnsi="Verdana"/>
          <w:bCs/>
          <w:kern w:val="0"/>
        </w:rPr>
      </w:pPr>
      <w:r w:rsidRPr="00650AAD">
        <w:rPr>
          <w:rFonts w:ascii="Verdana" w:hAnsi="Verdana"/>
          <w:bCs/>
          <w:kern w:val="0"/>
        </w:rPr>
        <w:lastRenderedPageBreak/>
        <w:t xml:space="preserve">In </w:t>
      </w:r>
      <w:r w:rsidR="009079BA" w:rsidRPr="00650AAD">
        <w:rPr>
          <w:rFonts w:ascii="Verdana" w:hAnsi="Verdana"/>
          <w:bCs/>
          <w:kern w:val="0"/>
        </w:rPr>
        <w:t>Italia il quadro risulta più spostato verso il c</w:t>
      </w:r>
      <w:r w:rsidR="00650AAD">
        <w:rPr>
          <w:rFonts w:ascii="Verdana" w:hAnsi="Verdana"/>
          <w:bCs/>
          <w:kern w:val="0"/>
        </w:rPr>
        <w:t>ontante: i pagamenti fisici</w:t>
      </w:r>
      <w:r w:rsidR="009079BA" w:rsidRPr="00650AAD">
        <w:rPr>
          <w:rFonts w:ascii="Verdana" w:hAnsi="Verdana"/>
          <w:bCs/>
          <w:kern w:val="0"/>
        </w:rPr>
        <w:t xml:space="preserve"> rappresentano ancora il 69% delle transazioni nei punti vendita e il 49% del valore complessivo, mentre i pagamenti con carta il 26% delle transazioni e il 43% del valore totale. Nell’area </w:t>
      </w:r>
      <w:r w:rsidRPr="00650AAD">
        <w:rPr>
          <w:rFonts w:ascii="Verdana" w:hAnsi="Verdana"/>
          <w:bCs/>
          <w:kern w:val="0"/>
        </w:rPr>
        <w:t>euro l’Italia si colloca tra i P</w:t>
      </w:r>
      <w:r w:rsidR="009079BA" w:rsidRPr="00650AAD">
        <w:rPr>
          <w:rFonts w:ascii="Verdana" w:hAnsi="Verdana"/>
          <w:bCs/>
          <w:kern w:val="0"/>
        </w:rPr>
        <w:t>aesi con il peso maggiore del contante in termini di numero di operazioni (quarta nazione dopo Malta, Slovenia e Austria), mentre se si considerano il valore degli importi si</w:t>
      </w:r>
      <w:r w:rsidR="00650AAD">
        <w:rPr>
          <w:rFonts w:ascii="Verdana" w:hAnsi="Verdana"/>
          <w:bCs/>
          <w:kern w:val="0"/>
        </w:rPr>
        <w:t xml:space="preserve"> posiziona all’ottavo posto. I P</w:t>
      </w:r>
      <w:r w:rsidR="009079BA" w:rsidRPr="00650AAD">
        <w:rPr>
          <w:rFonts w:ascii="Verdana" w:hAnsi="Verdana"/>
          <w:bCs/>
          <w:kern w:val="0"/>
        </w:rPr>
        <w:t xml:space="preserve">aesi con una diffusione maggiore dei pagamenti con carta sono Finlandia, Olanda, Lussemburgo e Belgio. </w:t>
      </w:r>
    </w:p>
    <w:p w14:paraId="1C751ACA" w14:textId="77777777" w:rsidR="00F137F0" w:rsidRPr="00F137F0" w:rsidRDefault="00F137F0" w:rsidP="00F137F0">
      <w:pPr>
        <w:ind w:left="284" w:right="544"/>
        <w:jc w:val="both"/>
        <w:rPr>
          <w:rFonts w:ascii="Verdana" w:hAnsi="Verdana"/>
          <w:bCs/>
          <w:kern w:val="0"/>
          <w:sz w:val="14"/>
          <w:szCs w:val="14"/>
        </w:rPr>
      </w:pPr>
    </w:p>
    <w:p w14:paraId="6895382F" w14:textId="5DD45CDD" w:rsidR="005A246A" w:rsidRPr="00650AAD" w:rsidRDefault="009079BA" w:rsidP="00F137F0">
      <w:pPr>
        <w:ind w:left="284" w:right="544"/>
        <w:jc w:val="both"/>
        <w:rPr>
          <w:rFonts w:ascii="Verdana" w:hAnsi="Verdana"/>
          <w:bCs/>
          <w:kern w:val="0"/>
        </w:rPr>
      </w:pPr>
      <w:r w:rsidRPr="00650AAD">
        <w:rPr>
          <w:rFonts w:ascii="Verdana" w:hAnsi="Verdana"/>
          <w:bCs/>
          <w:kern w:val="0"/>
        </w:rPr>
        <w:t xml:space="preserve">Per valutare le caratteristiche del territorio nazionale e cogliere anche i progressi realizzati verso la transizione </w:t>
      </w:r>
      <w:proofErr w:type="spellStart"/>
      <w:r w:rsidRPr="00650AAD">
        <w:rPr>
          <w:rFonts w:ascii="Verdana" w:hAnsi="Verdana"/>
          <w:bCs/>
          <w:kern w:val="0"/>
        </w:rPr>
        <w:t>cashless</w:t>
      </w:r>
      <w:proofErr w:type="spellEnd"/>
      <w:r w:rsidRPr="00650AAD">
        <w:rPr>
          <w:rFonts w:ascii="Verdana" w:hAnsi="Verdana"/>
          <w:bCs/>
          <w:kern w:val="0"/>
        </w:rPr>
        <w:t xml:space="preserve"> nei diversi territori è interessante considerar</w:t>
      </w:r>
      <w:r w:rsidR="00D514BF" w:rsidRPr="00650AAD">
        <w:rPr>
          <w:rFonts w:ascii="Verdana" w:hAnsi="Verdana"/>
          <w:bCs/>
          <w:kern w:val="0"/>
        </w:rPr>
        <w:t xml:space="preserve">e i risultati elaborati da The </w:t>
      </w:r>
      <w:proofErr w:type="spellStart"/>
      <w:r w:rsidR="00F54A9E">
        <w:rPr>
          <w:rFonts w:ascii="Verdana" w:hAnsi="Verdana"/>
          <w:bCs/>
          <w:kern w:val="0"/>
        </w:rPr>
        <w:t>e</w:t>
      </w:r>
      <w:r w:rsidRPr="00650AAD">
        <w:rPr>
          <w:rFonts w:ascii="Verdana" w:hAnsi="Verdana"/>
          <w:bCs/>
          <w:kern w:val="0"/>
        </w:rPr>
        <w:t>ur</w:t>
      </w:r>
      <w:r w:rsidR="006E79A0" w:rsidRPr="00650AAD">
        <w:rPr>
          <w:rFonts w:ascii="Verdana" w:hAnsi="Verdana"/>
          <w:bCs/>
          <w:kern w:val="0"/>
        </w:rPr>
        <w:t>o</w:t>
      </w:r>
      <w:r w:rsidR="00D514BF" w:rsidRPr="00650AAD">
        <w:rPr>
          <w:rFonts w:ascii="Verdana" w:hAnsi="Verdana"/>
          <w:bCs/>
          <w:kern w:val="0"/>
        </w:rPr>
        <w:t>pean</w:t>
      </w:r>
      <w:proofErr w:type="spellEnd"/>
      <w:r w:rsidR="00D514BF" w:rsidRPr="00650AAD">
        <w:rPr>
          <w:rFonts w:ascii="Verdana" w:hAnsi="Verdana"/>
          <w:bCs/>
          <w:kern w:val="0"/>
        </w:rPr>
        <w:t xml:space="preserve"> </w:t>
      </w:r>
      <w:proofErr w:type="spellStart"/>
      <w:r w:rsidR="00F54A9E">
        <w:rPr>
          <w:rFonts w:ascii="Verdana" w:hAnsi="Verdana"/>
          <w:bCs/>
          <w:kern w:val="0"/>
        </w:rPr>
        <w:t>h</w:t>
      </w:r>
      <w:r w:rsidR="00650AAD">
        <w:rPr>
          <w:rFonts w:ascii="Verdana" w:hAnsi="Verdana"/>
          <w:bCs/>
          <w:kern w:val="0"/>
        </w:rPr>
        <w:t>ouse</w:t>
      </w:r>
      <w:proofErr w:type="spellEnd"/>
      <w:r w:rsidR="00650AAD">
        <w:rPr>
          <w:rFonts w:ascii="Verdana" w:hAnsi="Verdana"/>
          <w:bCs/>
          <w:kern w:val="0"/>
        </w:rPr>
        <w:t xml:space="preserve"> Ambrosetti nel r</w:t>
      </w:r>
      <w:r w:rsidRPr="00650AAD">
        <w:rPr>
          <w:rFonts w:ascii="Verdana" w:hAnsi="Verdana"/>
          <w:bCs/>
          <w:kern w:val="0"/>
        </w:rPr>
        <w:t>apporto 20</w:t>
      </w:r>
      <w:r w:rsidR="00D514BF" w:rsidRPr="00650AAD">
        <w:rPr>
          <w:rFonts w:ascii="Verdana" w:hAnsi="Verdana"/>
          <w:bCs/>
          <w:kern w:val="0"/>
        </w:rPr>
        <w:t xml:space="preserve">22 e sintetizzati nel </w:t>
      </w:r>
      <w:proofErr w:type="spellStart"/>
      <w:r w:rsidR="00D514BF" w:rsidRPr="00650AAD">
        <w:rPr>
          <w:rFonts w:ascii="Verdana" w:hAnsi="Verdana"/>
          <w:bCs/>
          <w:kern w:val="0"/>
        </w:rPr>
        <w:t>Regional</w:t>
      </w:r>
      <w:proofErr w:type="spellEnd"/>
      <w:r w:rsidR="00D514BF" w:rsidRPr="00650AAD">
        <w:rPr>
          <w:rFonts w:ascii="Verdana" w:hAnsi="Verdana"/>
          <w:bCs/>
          <w:kern w:val="0"/>
        </w:rPr>
        <w:t xml:space="preserve"> </w:t>
      </w:r>
      <w:proofErr w:type="spellStart"/>
      <w:r w:rsidR="00F54A9E">
        <w:rPr>
          <w:rFonts w:ascii="Verdana" w:hAnsi="Verdana"/>
          <w:bCs/>
          <w:kern w:val="0"/>
        </w:rPr>
        <w:t>c</w:t>
      </w:r>
      <w:r w:rsidRPr="00650AAD">
        <w:rPr>
          <w:rFonts w:ascii="Verdana" w:hAnsi="Verdana"/>
          <w:bCs/>
          <w:kern w:val="0"/>
        </w:rPr>
        <w:t>ashless</w:t>
      </w:r>
      <w:proofErr w:type="spellEnd"/>
      <w:r w:rsidR="00D514BF" w:rsidRPr="00650AAD">
        <w:rPr>
          <w:rFonts w:ascii="Verdana" w:hAnsi="Verdana"/>
          <w:bCs/>
          <w:kern w:val="0"/>
        </w:rPr>
        <w:t xml:space="preserve"> </w:t>
      </w:r>
      <w:proofErr w:type="spellStart"/>
      <w:r w:rsidR="00F54A9E">
        <w:rPr>
          <w:rFonts w:ascii="Verdana" w:hAnsi="Verdana"/>
          <w:bCs/>
          <w:kern w:val="0"/>
        </w:rPr>
        <w:t>i</w:t>
      </w:r>
      <w:r w:rsidRPr="00650AAD">
        <w:rPr>
          <w:rFonts w:ascii="Verdana" w:hAnsi="Verdana"/>
          <w:bCs/>
          <w:kern w:val="0"/>
        </w:rPr>
        <w:t>ndex</w:t>
      </w:r>
      <w:proofErr w:type="spellEnd"/>
      <w:r w:rsidRPr="00650AAD">
        <w:rPr>
          <w:rFonts w:ascii="Verdana" w:hAnsi="Verdana"/>
          <w:bCs/>
          <w:kern w:val="0"/>
        </w:rPr>
        <w:t>. Quest’ultimo tiene conto di sedici indicatori composti da fattori abilitanti (tra qu</w:t>
      </w:r>
      <w:r w:rsidR="00F6076D">
        <w:rPr>
          <w:rFonts w:ascii="Verdana" w:hAnsi="Verdana"/>
          <w:bCs/>
          <w:kern w:val="0"/>
        </w:rPr>
        <w:t xml:space="preserve">esti il numero di </w:t>
      </w:r>
      <w:proofErr w:type="spellStart"/>
      <w:r w:rsidR="00F6076D">
        <w:rPr>
          <w:rFonts w:ascii="Verdana" w:hAnsi="Verdana"/>
          <w:bCs/>
          <w:kern w:val="0"/>
        </w:rPr>
        <w:t>p</w:t>
      </w:r>
      <w:r w:rsidR="00D514BF" w:rsidRPr="00650AAD">
        <w:rPr>
          <w:rFonts w:ascii="Verdana" w:hAnsi="Verdana"/>
          <w:bCs/>
          <w:kern w:val="0"/>
        </w:rPr>
        <w:t>os</w:t>
      </w:r>
      <w:proofErr w:type="spellEnd"/>
      <w:r w:rsidR="00D514BF" w:rsidRPr="00650AAD">
        <w:rPr>
          <w:rFonts w:ascii="Verdana" w:hAnsi="Verdana"/>
          <w:bCs/>
          <w:kern w:val="0"/>
        </w:rPr>
        <w:t xml:space="preserve"> ogni mille</w:t>
      </w:r>
      <w:r w:rsidRPr="00650AAD">
        <w:rPr>
          <w:rFonts w:ascii="Verdana" w:hAnsi="Verdana"/>
          <w:bCs/>
          <w:kern w:val="0"/>
        </w:rPr>
        <w:t xml:space="preserve"> abitanti, i servizi di home-banking attivi</w:t>
      </w:r>
      <w:r w:rsidR="00D514BF" w:rsidRPr="00650AAD">
        <w:rPr>
          <w:rFonts w:ascii="Verdana" w:hAnsi="Verdana"/>
          <w:bCs/>
          <w:kern w:val="0"/>
        </w:rPr>
        <w:t xml:space="preserve"> sul totale dei conti correnti, </w:t>
      </w:r>
      <w:r w:rsidRPr="00650AAD">
        <w:rPr>
          <w:rFonts w:ascii="Verdana" w:hAnsi="Verdana"/>
          <w:bCs/>
          <w:kern w:val="0"/>
        </w:rPr>
        <w:t>ecc</w:t>
      </w:r>
      <w:r w:rsidR="00D514BF" w:rsidRPr="00650AAD">
        <w:rPr>
          <w:rFonts w:ascii="Verdana" w:hAnsi="Verdana"/>
          <w:bCs/>
          <w:kern w:val="0"/>
        </w:rPr>
        <w:t>.</w:t>
      </w:r>
      <w:r w:rsidRPr="00650AAD">
        <w:rPr>
          <w:rFonts w:ascii="Verdana" w:hAnsi="Verdana"/>
          <w:bCs/>
          <w:kern w:val="0"/>
        </w:rPr>
        <w:t>) e variabili relative allo stato dei pagamenti (numero di transazioni con carte di credito e debito pro-capite, valore delle trans</w:t>
      </w:r>
      <w:r w:rsidR="00F6076D">
        <w:rPr>
          <w:rFonts w:ascii="Verdana" w:hAnsi="Verdana"/>
          <w:bCs/>
          <w:kern w:val="0"/>
        </w:rPr>
        <w:t>azioni effettuate con carte</w:t>
      </w:r>
      <w:r w:rsidRPr="00650AAD">
        <w:rPr>
          <w:rFonts w:ascii="Verdana" w:hAnsi="Verdana"/>
          <w:bCs/>
          <w:kern w:val="0"/>
        </w:rPr>
        <w:t xml:space="preserve">). </w:t>
      </w:r>
    </w:p>
    <w:p w14:paraId="0F890B65" w14:textId="77777777" w:rsidR="00F137F0" w:rsidRPr="00F137F0" w:rsidRDefault="00F137F0" w:rsidP="00F137F0">
      <w:pPr>
        <w:ind w:left="284" w:right="544"/>
        <w:jc w:val="both"/>
        <w:rPr>
          <w:rFonts w:ascii="Verdana" w:hAnsi="Verdana"/>
          <w:bCs/>
          <w:kern w:val="0"/>
          <w:sz w:val="14"/>
          <w:szCs w:val="14"/>
        </w:rPr>
      </w:pPr>
    </w:p>
    <w:p w14:paraId="74436045" w14:textId="6DA13645" w:rsidR="00CB6FBA" w:rsidRDefault="00D514BF" w:rsidP="00F137F0">
      <w:pPr>
        <w:ind w:left="284" w:right="544"/>
        <w:jc w:val="both"/>
        <w:rPr>
          <w:rFonts w:ascii="Verdana" w:hAnsi="Verdana"/>
          <w:bCs/>
          <w:color w:val="auto"/>
          <w:kern w:val="0"/>
        </w:rPr>
      </w:pPr>
      <w:r w:rsidRPr="00650AAD">
        <w:rPr>
          <w:rFonts w:ascii="Verdana" w:hAnsi="Verdana"/>
          <w:bCs/>
          <w:kern w:val="0"/>
        </w:rPr>
        <w:t>L</w:t>
      </w:r>
      <w:r w:rsidR="00650AAD">
        <w:rPr>
          <w:rFonts w:ascii="Verdana" w:hAnsi="Verdana"/>
          <w:bCs/>
          <w:kern w:val="0"/>
        </w:rPr>
        <w:t xml:space="preserve">a Toscana </w:t>
      </w:r>
      <w:r w:rsidR="009079BA" w:rsidRPr="00650AAD">
        <w:rPr>
          <w:rFonts w:ascii="Verdana" w:hAnsi="Verdana"/>
          <w:bCs/>
          <w:kern w:val="0"/>
        </w:rPr>
        <w:t>si colloca al terzo posto a livello regionale con u</w:t>
      </w:r>
      <w:r w:rsidR="00F6076D">
        <w:rPr>
          <w:rFonts w:ascii="Verdana" w:hAnsi="Verdana"/>
          <w:bCs/>
          <w:kern w:val="0"/>
        </w:rPr>
        <w:t xml:space="preserve">n punteggio di 6,3 su una scala da 1 </w:t>
      </w:r>
      <w:r w:rsidR="009079BA" w:rsidRPr="00650AAD">
        <w:rPr>
          <w:rFonts w:ascii="Verdana" w:hAnsi="Verdana"/>
          <w:bCs/>
          <w:kern w:val="0"/>
        </w:rPr>
        <w:t>a 10, preceduta solo da Lo</w:t>
      </w:r>
      <w:r w:rsidR="00040348">
        <w:rPr>
          <w:rFonts w:ascii="Verdana" w:hAnsi="Verdana"/>
          <w:bCs/>
          <w:kern w:val="0"/>
        </w:rPr>
        <w:t>mbardia (6,7) e Piemonte (6,4</w:t>
      </w:r>
      <w:r w:rsidR="00040348" w:rsidRPr="00AA585F">
        <w:rPr>
          <w:rFonts w:ascii="Verdana" w:hAnsi="Verdana"/>
          <w:bCs/>
          <w:kern w:val="0"/>
        </w:rPr>
        <w:t>). L’indice aggregato World Line-</w:t>
      </w:r>
      <w:proofErr w:type="spellStart"/>
      <w:r w:rsidR="00040348" w:rsidRPr="00AA585F">
        <w:rPr>
          <w:rFonts w:ascii="Verdana" w:hAnsi="Verdana"/>
          <w:bCs/>
          <w:kern w:val="0"/>
        </w:rPr>
        <w:t>Axepta</w:t>
      </w:r>
      <w:proofErr w:type="spellEnd"/>
      <w:r w:rsidR="00040348" w:rsidRPr="00AA585F">
        <w:rPr>
          <w:rFonts w:ascii="Verdana" w:hAnsi="Verdana"/>
          <w:bCs/>
          <w:kern w:val="0"/>
        </w:rPr>
        <w:t xml:space="preserve"> relativo alla seconda </w:t>
      </w:r>
      <w:r w:rsidR="00040348" w:rsidRPr="00921F4B">
        <w:rPr>
          <w:rFonts w:ascii="Verdana" w:hAnsi="Verdana"/>
          <w:bCs/>
          <w:color w:val="auto"/>
          <w:kern w:val="0"/>
        </w:rPr>
        <w:t xml:space="preserve">settimana di febbraio, secondo l’ultimo report dell’Ufficio studi della Camera di commercio di Firenze, per la Toscana registra un incremento dei pagamenti digitali (+13,8% in valore) in linea con il trend di crescita degli ultimi anni. </w:t>
      </w:r>
    </w:p>
    <w:p w14:paraId="73AE5552" w14:textId="133FB848" w:rsidR="009079BA" w:rsidRPr="00CB6FBA" w:rsidRDefault="00D514BF" w:rsidP="00F137F0">
      <w:pPr>
        <w:ind w:left="284" w:right="544"/>
        <w:jc w:val="both"/>
        <w:rPr>
          <w:rFonts w:ascii="Verdana" w:hAnsi="Verdana"/>
          <w:bCs/>
          <w:spacing w:val="-4"/>
          <w:kern w:val="0"/>
        </w:rPr>
      </w:pPr>
      <w:r w:rsidRPr="00CB6FBA">
        <w:rPr>
          <w:rFonts w:ascii="Verdana" w:hAnsi="Verdana"/>
          <w:bCs/>
          <w:color w:val="auto"/>
          <w:spacing w:val="-4"/>
          <w:kern w:val="0"/>
        </w:rPr>
        <w:t xml:space="preserve">Per quanto riguarda </w:t>
      </w:r>
      <w:r w:rsidR="00650AAD" w:rsidRPr="00CB6FBA">
        <w:rPr>
          <w:rFonts w:ascii="Verdana" w:hAnsi="Verdana"/>
          <w:bCs/>
          <w:color w:val="auto"/>
          <w:spacing w:val="-4"/>
          <w:kern w:val="0"/>
        </w:rPr>
        <w:t xml:space="preserve">le </w:t>
      </w:r>
      <w:r w:rsidR="009079BA" w:rsidRPr="00CB6FBA">
        <w:rPr>
          <w:rFonts w:ascii="Verdana" w:hAnsi="Verdana"/>
          <w:bCs/>
          <w:color w:val="auto"/>
          <w:spacing w:val="-4"/>
          <w:kern w:val="0"/>
        </w:rPr>
        <w:t xml:space="preserve">città </w:t>
      </w:r>
      <w:r w:rsidRPr="00CB6FBA">
        <w:rPr>
          <w:rFonts w:ascii="Verdana" w:hAnsi="Verdana"/>
          <w:bCs/>
          <w:color w:val="auto"/>
          <w:spacing w:val="-4"/>
          <w:kern w:val="0"/>
        </w:rPr>
        <w:t xml:space="preserve">metropolitane, il </w:t>
      </w:r>
      <w:proofErr w:type="spellStart"/>
      <w:r w:rsidRPr="00CB6FBA">
        <w:rPr>
          <w:rFonts w:ascii="Verdana" w:hAnsi="Verdana"/>
          <w:bCs/>
          <w:color w:val="auto"/>
          <w:spacing w:val="-4"/>
          <w:kern w:val="0"/>
        </w:rPr>
        <w:t>Metropolitan</w:t>
      </w:r>
      <w:proofErr w:type="spellEnd"/>
      <w:r w:rsidRPr="00CB6FBA">
        <w:rPr>
          <w:rFonts w:ascii="Verdana" w:hAnsi="Verdana"/>
          <w:bCs/>
          <w:color w:val="auto"/>
          <w:spacing w:val="-4"/>
          <w:kern w:val="0"/>
        </w:rPr>
        <w:t xml:space="preserve"> </w:t>
      </w:r>
      <w:proofErr w:type="spellStart"/>
      <w:r w:rsidRPr="00CB6FBA">
        <w:rPr>
          <w:rFonts w:ascii="Verdana" w:hAnsi="Verdana"/>
          <w:bCs/>
          <w:color w:val="auto"/>
          <w:spacing w:val="-4"/>
          <w:kern w:val="0"/>
        </w:rPr>
        <w:t>cities</w:t>
      </w:r>
      <w:proofErr w:type="spellEnd"/>
      <w:r w:rsidRPr="00CB6FBA">
        <w:rPr>
          <w:rFonts w:ascii="Verdana" w:hAnsi="Verdana"/>
          <w:bCs/>
          <w:color w:val="auto"/>
          <w:spacing w:val="-4"/>
          <w:kern w:val="0"/>
        </w:rPr>
        <w:t xml:space="preserve"> </w:t>
      </w:r>
      <w:proofErr w:type="spellStart"/>
      <w:r w:rsidRPr="00CB6FBA">
        <w:rPr>
          <w:rFonts w:ascii="Verdana" w:hAnsi="Verdana"/>
          <w:bCs/>
          <w:color w:val="auto"/>
          <w:spacing w:val="-4"/>
          <w:kern w:val="0"/>
        </w:rPr>
        <w:t>cashless</w:t>
      </w:r>
      <w:proofErr w:type="spellEnd"/>
      <w:r w:rsidRPr="00CB6FBA">
        <w:rPr>
          <w:rFonts w:ascii="Verdana" w:hAnsi="Verdana"/>
          <w:bCs/>
          <w:color w:val="auto"/>
          <w:spacing w:val="-4"/>
          <w:kern w:val="0"/>
        </w:rPr>
        <w:t xml:space="preserve"> </w:t>
      </w:r>
      <w:proofErr w:type="spellStart"/>
      <w:r w:rsidRPr="00CB6FBA">
        <w:rPr>
          <w:rFonts w:ascii="Verdana" w:hAnsi="Verdana"/>
          <w:bCs/>
          <w:color w:val="auto"/>
          <w:spacing w:val="-4"/>
          <w:kern w:val="0"/>
        </w:rPr>
        <w:t>i</w:t>
      </w:r>
      <w:r w:rsidR="009079BA" w:rsidRPr="00CB6FBA">
        <w:rPr>
          <w:rFonts w:ascii="Verdana" w:hAnsi="Verdana"/>
          <w:bCs/>
          <w:color w:val="auto"/>
          <w:spacing w:val="-4"/>
          <w:kern w:val="0"/>
        </w:rPr>
        <w:t>ndex</w:t>
      </w:r>
      <w:proofErr w:type="spellEnd"/>
      <w:r w:rsidR="00921F4B" w:rsidRPr="00CB6FBA">
        <w:rPr>
          <w:rFonts w:ascii="Verdana" w:hAnsi="Verdana"/>
          <w:bCs/>
          <w:color w:val="auto"/>
          <w:spacing w:val="-4"/>
          <w:kern w:val="0"/>
        </w:rPr>
        <w:t xml:space="preserve"> – </w:t>
      </w:r>
      <w:r w:rsidR="00921F4B" w:rsidRPr="00B85116">
        <w:rPr>
          <w:rFonts w:ascii="Verdana" w:hAnsi="Verdana"/>
          <w:bCs/>
          <w:color w:val="auto"/>
          <w:spacing w:val="-4"/>
          <w:kern w:val="0"/>
        </w:rPr>
        <w:t xml:space="preserve">che </w:t>
      </w:r>
      <w:r w:rsidR="00921F4B" w:rsidRPr="00B85116">
        <w:rPr>
          <w:rFonts w:ascii="Verdana" w:hAnsi="Verdana"/>
          <w:color w:val="auto"/>
          <w:spacing w:val="-4"/>
          <w:shd w:val="clear" w:color="auto" w:fill="FFFFFF"/>
        </w:rPr>
        <w:t>permette di misurare come le principali</w:t>
      </w:r>
      <w:r w:rsidR="00921F4B" w:rsidRPr="00B85116">
        <w:rPr>
          <w:rFonts w:ascii="Verdana" w:hAnsi="Verdana"/>
          <w:b/>
          <w:bCs/>
          <w:color w:val="auto"/>
          <w:spacing w:val="-4"/>
          <w:shd w:val="clear" w:color="auto" w:fill="FFFFFF"/>
        </w:rPr>
        <w:t> </w:t>
      </w:r>
      <w:r w:rsidR="00921F4B" w:rsidRPr="00B85116">
        <w:rPr>
          <w:rFonts w:ascii="Verdana" w:hAnsi="Verdana"/>
          <w:color w:val="auto"/>
          <w:spacing w:val="-4"/>
          <w:shd w:val="clear" w:color="auto" w:fill="FFFFFF"/>
        </w:rPr>
        <w:t xml:space="preserve">aree metropolitane dell'Italia stiano evolvendo verso la </w:t>
      </w:r>
      <w:proofErr w:type="spellStart"/>
      <w:r w:rsidR="00921F4B" w:rsidRPr="00B85116">
        <w:rPr>
          <w:rFonts w:ascii="Verdana" w:hAnsi="Verdana"/>
          <w:color w:val="auto"/>
          <w:spacing w:val="-4"/>
          <w:shd w:val="clear" w:color="auto" w:fill="FFFFFF"/>
        </w:rPr>
        <w:t>cashless</w:t>
      </w:r>
      <w:proofErr w:type="spellEnd"/>
      <w:r w:rsidR="00921F4B" w:rsidRPr="00B85116">
        <w:rPr>
          <w:rFonts w:ascii="Verdana" w:hAnsi="Verdana"/>
          <w:color w:val="auto"/>
          <w:spacing w:val="-4"/>
          <w:shd w:val="clear" w:color="auto" w:fill="FFFFFF"/>
        </w:rPr>
        <w:t xml:space="preserve"> society</w:t>
      </w:r>
      <w:r w:rsidR="00DE2EED">
        <w:rPr>
          <w:rFonts w:ascii="Verdana" w:hAnsi="Verdana"/>
          <w:color w:val="auto"/>
          <w:spacing w:val="-4"/>
          <w:shd w:val="clear" w:color="auto" w:fill="FFFFFF"/>
        </w:rPr>
        <w:t xml:space="preserve"> </w:t>
      </w:r>
      <w:r w:rsidR="00921F4B" w:rsidRPr="00CB6FBA">
        <w:rPr>
          <w:rFonts w:ascii="Verdana" w:hAnsi="Verdana"/>
          <w:color w:val="auto"/>
          <w:spacing w:val="-4"/>
          <w:shd w:val="clear" w:color="auto" w:fill="FFFFFF"/>
        </w:rPr>
        <w:t>-</w:t>
      </w:r>
      <w:r w:rsidR="00921F4B" w:rsidRPr="00CB6FBA">
        <w:rPr>
          <w:rFonts w:ascii="Verdana" w:hAnsi="Verdana"/>
          <w:b/>
          <w:bCs/>
          <w:color w:val="auto"/>
          <w:spacing w:val="-4"/>
          <w:shd w:val="clear" w:color="auto" w:fill="FFFFFF"/>
        </w:rPr>
        <w:t xml:space="preserve"> </w:t>
      </w:r>
      <w:r w:rsidR="009079BA" w:rsidRPr="00CB6FBA">
        <w:rPr>
          <w:rFonts w:ascii="Verdana" w:hAnsi="Verdana"/>
          <w:bCs/>
          <w:color w:val="auto"/>
          <w:spacing w:val="-4"/>
          <w:kern w:val="0"/>
        </w:rPr>
        <w:t xml:space="preserve">rileva nell’ultima edizione il successo </w:t>
      </w:r>
      <w:r w:rsidR="009079BA" w:rsidRPr="00CB6FBA">
        <w:rPr>
          <w:rFonts w:ascii="Verdana" w:hAnsi="Verdana"/>
          <w:bCs/>
          <w:spacing w:val="-4"/>
          <w:kern w:val="0"/>
        </w:rPr>
        <w:t>di Firenze che guadagna due posizioni e si colloca al primo posto con un punteggio di 7,1, superando Milan</w:t>
      </w:r>
      <w:r w:rsidR="00F6076D">
        <w:rPr>
          <w:rFonts w:ascii="Verdana" w:hAnsi="Verdana"/>
          <w:bCs/>
          <w:spacing w:val="-4"/>
          <w:kern w:val="0"/>
        </w:rPr>
        <w:t>o (5,8); al terzo posto</w:t>
      </w:r>
      <w:r w:rsidR="009079BA" w:rsidRPr="00CB6FBA">
        <w:rPr>
          <w:rFonts w:ascii="Verdana" w:hAnsi="Verdana"/>
          <w:bCs/>
          <w:spacing w:val="-4"/>
          <w:kern w:val="0"/>
        </w:rPr>
        <w:t xml:space="preserve"> Genova (5,76).</w:t>
      </w:r>
    </w:p>
    <w:bookmarkEnd w:id="2"/>
    <w:bookmarkEnd w:id="3"/>
    <w:p w14:paraId="2C0E3463" w14:textId="77777777" w:rsidR="00F137F0" w:rsidRPr="00F137F0" w:rsidRDefault="00F137F0" w:rsidP="00F137F0">
      <w:pPr>
        <w:ind w:left="284" w:right="543"/>
        <w:jc w:val="both"/>
        <w:rPr>
          <w:rFonts w:ascii="Verdana" w:hAnsi="Verdana"/>
          <w:bCs/>
          <w:spacing w:val="-4"/>
          <w:kern w:val="0"/>
          <w:sz w:val="14"/>
          <w:szCs w:val="14"/>
        </w:rPr>
      </w:pPr>
    </w:p>
    <w:p w14:paraId="79CCA8B9" w14:textId="7E0864CE" w:rsidR="00797202" w:rsidRPr="003264E2" w:rsidRDefault="0060068D" w:rsidP="00F137F0">
      <w:pPr>
        <w:ind w:left="284" w:right="543"/>
        <w:jc w:val="both"/>
        <w:rPr>
          <w:rFonts w:ascii="Verdana" w:hAnsi="Verdana"/>
          <w:bCs/>
          <w:spacing w:val="-4"/>
          <w:kern w:val="0"/>
        </w:rPr>
      </w:pPr>
      <w:r w:rsidRPr="003264E2">
        <w:rPr>
          <w:rFonts w:ascii="Verdana" w:hAnsi="Verdana"/>
          <w:bCs/>
          <w:spacing w:val="-4"/>
          <w:kern w:val="0"/>
        </w:rPr>
        <w:t>Intesa Sanpaolo</w:t>
      </w:r>
      <w:r w:rsidR="00DE2EED">
        <w:rPr>
          <w:rFonts w:ascii="Verdana" w:hAnsi="Verdana"/>
          <w:bCs/>
          <w:spacing w:val="-4"/>
          <w:kern w:val="0"/>
        </w:rPr>
        <w:t xml:space="preserve"> </w:t>
      </w:r>
      <w:r w:rsidRPr="003264E2">
        <w:rPr>
          <w:rFonts w:ascii="Verdana" w:hAnsi="Verdana"/>
          <w:bCs/>
          <w:spacing w:val="-4"/>
          <w:kern w:val="0"/>
        </w:rPr>
        <w:t>ha riservato un</w:t>
      </w:r>
      <w:r w:rsidR="00F54A9E">
        <w:rPr>
          <w:rFonts w:ascii="Verdana" w:hAnsi="Verdana"/>
          <w:bCs/>
          <w:spacing w:val="-4"/>
          <w:kern w:val="0"/>
        </w:rPr>
        <w:t xml:space="preserve"> piano</w:t>
      </w:r>
      <w:r w:rsidRPr="003264E2">
        <w:rPr>
          <w:rFonts w:ascii="Verdana" w:hAnsi="Verdana"/>
          <w:bCs/>
          <w:spacing w:val="-4"/>
          <w:kern w:val="0"/>
        </w:rPr>
        <w:t xml:space="preserve"> valid</w:t>
      </w:r>
      <w:r w:rsidR="00F54A9E">
        <w:rPr>
          <w:rFonts w:ascii="Verdana" w:hAnsi="Verdana"/>
          <w:bCs/>
          <w:spacing w:val="-4"/>
          <w:kern w:val="0"/>
        </w:rPr>
        <w:t>o</w:t>
      </w:r>
      <w:r w:rsidRPr="003264E2">
        <w:rPr>
          <w:rFonts w:ascii="Verdana" w:hAnsi="Verdana"/>
          <w:bCs/>
          <w:spacing w:val="-4"/>
          <w:kern w:val="0"/>
        </w:rPr>
        <w:t xml:space="preserve"> fino al marzo 2026 per accompagnare </w:t>
      </w:r>
      <w:r w:rsidR="00F6076D">
        <w:rPr>
          <w:rFonts w:ascii="Verdana" w:hAnsi="Verdana"/>
          <w:bCs/>
          <w:spacing w:val="-4"/>
          <w:kern w:val="0"/>
        </w:rPr>
        <w:t>gli operatori economici che operano</w:t>
      </w:r>
      <w:r w:rsidRPr="003264E2">
        <w:rPr>
          <w:rFonts w:ascii="Verdana" w:hAnsi="Verdana"/>
          <w:bCs/>
          <w:spacing w:val="-4"/>
          <w:kern w:val="0"/>
        </w:rPr>
        <w:t xml:space="preserve"> nella Città </w:t>
      </w:r>
      <w:r w:rsidR="00F54A9E">
        <w:rPr>
          <w:rFonts w:ascii="Verdana" w:hAnsi="Verdana"/>
          <w:bCs/>
          <w:spacing w:val="-4"/>
          <w:kern w:val="0"/>
        </w:rPr>
        <w:t>m</w:t>
      </w:r>
      <w:r w:rsidRPr="003264E2">
        <w:rPr>
          <w:rFonts w:ascii="Verdana" w:hAnsi="Verdana"/>
          <w:bCs/>
          <w:spacing w:val="-4"/>
          <w:kern w:val="0"/>
        </w:rPr>
        <w:t>etropolitana di Firenze in un percorso di maggior utilizzo della moneta elettronica.</w:t>
      </w:r>
      <w:r w:rsidR="00FC72AA" w:rsidRPr="003264E2">
        <w:rPr>
          <w:rFonts w:ascii="Verdana" w:hAnsi="Verdana"/>
          <w:bCs/>
          <w:spacing w:val="-4"/>
          <w:kern w:val="0"/>
        </w:rPr>
        <w:t xml:space="preserve"> </w:t>
      </w:r>
      <w:r w:rsidR="00F54A9E">
        <w:rPr>
          <w:rFonts w:ascii="Verdana" w:hAnsi="Verdana"/>
          <w:bCs/>
          <w:spacing w:val="-4"/>
          <w:kern w:val="0"/>
        </w:rPr>
        <w:t>Con l</w:t>
      </w:r>
      <w:r w:rsidR="00FC72AA" w:rsidRPr="003264E2">
        <w:rPr>
          <w:rFonts w:ascii="Verdana" w:hAnsi="Verdana"/>
          <w:bCs/>
          <w:spacing w:val="-4"/>
          <w:kern w:val="0"/>
        </w:rPr>
        <w:t xml:space="preserve">’iniziativa </w:t>
      </w:r>
      <w:r w:rsidR="00797202" w:rsidRPr="003264E2">
        <w:rPr>
          <w:rFonts w:ascii="Verdana" w:hAnsi="Verdana"/>
          <w:bCs/>
          <w:spacing w:val="-4"/>
          <w:kern w:val="0"/>
        </w:rPr>
        <w:t xml:space="preserve">‘Firenze </w:t>
      </w:r>
      <w:proofErr w:type="spellStart"/>
      <w:r w:rsidR="00797202" w:rsidRPr="003264E2">
        <w:rPr>
          <w:rFonts w:ascii="Verdana" w:hAnsi="Verdana"/>
          <w:bCs/>
          <w:spacing w:val="-4"/>
          <w:kern w:val="0"/>
        </w:rPr>
        <w:t>CashLess</w:t>
      </w:r>
      <w:proofErr w:type="spellEnd"/>
      <w:r w:rsidR="00797202" w:rsidRPr="003264E2">
        <w:rPr>
          <w:rFonts w:ascii="Verdana" w:hAnsi="Verdana"/>
          <w:bCs/>
          <w:spacing w:val="-4"/>
          <w:kern w:val="0"/>
        </w:rPr>
        <w:t>’ g</w:t>
      </w:r>
      <w:r w:rsidRPr="003264E2">
        <w:rPr>
          <w:rFonts w:ascii="Verdana" w:hAnsi="Verdana"/>
          <w:bCs/>
          <w:spacing w:val="-4"/>
          <w:kern w:val="0"/>
        </w:rPr>
        <w:t>li esercenti e le piccole realtà economiche verranno infatti incentivat</w:t>
      </w:r>
      <w:r w:rsidR="00F54A9E">
        <w:rPr>
          <w:rFonts w:ascii="Verdana" w:hAnsi="Verdana"/>
          <w:bCs/>
          <w:spacing w:val="-4"/>
          <w:kern w:val="0"/>
        </w:rPr>
        <w:t>i</w:t>
      </w:r>
      <w:r w:rsidRPr="003264E2">
        <w:rPr>
          <w:rFonts w:ascii="Verdana" w:hAnsi="Verdana"/>
          <w:bCs/>
          <w:spacing w:val="-4"/>
          <w:kern w:val="0"/>
        </w:rPr>
        <w:t xml:space="preserve"> da Intesa Sanpaolo </w:t>
      </w:r>
      <w:r w:rsidR="00797202" w:rsidRPr="003264E2">
        <w:rPr>
          <w:rFonts w:ascii="Verdana" w:hAnsi="Verdana"/>
          <w:bCs/>
          <w:spacing w:val="-4"/>
          <w:kern w:val="0"/>
        </w:rPr>
        <w:t xml:space="preserve">ad utilizzare il </w:t>
      </w:r>
      <w:proofErr w:type="spellStart"/>
      <w:r w:rsidR="00F6076D">
        <w:rPr>
          <w:rFonts w:ascii="Verdana" w:hAnsi="Verdana"/>
          <w:bCs/>
          <w:spacing w:val="-4"/>
          <w:kern w:val="0"/>
        </w:rPr>
        <w:t>pos</w:t>
      </w:r>
      <w:proofErr w:type="spellEnd"/>
      <w:r w:rsidR="00797202" w:rsidRPr="003264E2">
        <w:rPr>
          <w:rFonts w:ascii="Verdana" w:hAnsi="Verdana"/>
          <w:bCs/>
          <w:spacing w:val="-4"/>
          <w:kern w:val="0"/>
        </w:rPr>
        <w:t xml:space="preserve"> grazie all’azzeramento del canone mensile, a condizione </w:t>
      </w:r>
      <w:r w:rsidR="00F54A9E">
        <w:rPr>
          <w:rFonts w:ascii="Verdana" w:hAnsi="Verdana"/>
          <w:bCs/>
          <w:spacing w:val="-4"/>
          <w:kern w:val="0"/>
        </w:rPr>
        <w:t>di transare</w:t>
      </w:r>
      <w:r w:rsidR="00797202" w:rsidRPr="003264E2">
        <w:rPr>
          <w:rFonts w:ascii="Verdana" w:hAnsi="Verdana"/>
          <w:bCs/>
          <w:spacing w:val="-4"/>
          <w:kern w:val="0"/>
        </w:rPr>
        <w:t xml:space="preserve"> almeno </w:t>
      </w:r>
      <w:r w:rsidR="00F6076D">
        <w:rPr>
          <w:rFonts w:ascii="Verdana" w:hAnsi="Verdana"/>
          <w:bCs/>
          <w:spacing w:val="-4"/>
          <w:kern w:val="0"/>
        </w:rPr>
        <w:t>mille</w:t>
      </w:r>
      <w:r w:rsidR="00797202" w:rsidRPr="003264E2">
        <w:rPr>
          <w:rFonts w:ascii="Verdana" w:hAnsi="Verdana"/>
          <w:bCs/>
          <w:spacing w:val="-4"/>
          <w:kern w:val="0"/>
        </w:rPr>
        <w:t xml:space="preserve"> euro al mese, oltre all’azzeramento delle co</w:t>
      </w:r>
      <w:r w:rsidR="00F6076D">
        <w:rPr>
          <w:rFonts w:ascii="Verdana" w:hAnsi="Verdana"/>
          <w:bCs/>
          <w:spacing w:val="-4"/>
          <w:kern w:val="0"/>
        </w:rPr>
        <w:t>mmissioni sul transato fino a dieci</w:t>
      </w:r>
      <w:r w:rsidR="00797202" w:rsidRPr="003264E2">
        <w:rPr>
          <w:rFonts w:ascii="Verdana" w:hAnsi="Verdana"/>
          <w:bCs/>
          <w:spacing w:val="-4"/>
          <w:kern w:val="0"/>
        </w:rPr>
        <w:t xml:space="preserve"> euro e alle commissioni agevolate sul</w:t>
      </w:r>
      <w:r w:rsidR="00F6076D">
        <w:rPr>
          <w:rFonts w:ascii="Verdana" w:hAnsi="Verdana"/>
          <w:bCs/>
          <w:spacing w:val="-4"/>
          <w:kern w:val="0"/>
        </w:rPr>
        <w:t xml:space="preserve"> transato per importi oltre i dieci</w:t>
      </w:r>
      <w:r w:rsidR="00797202" w:rsidRPr="003264E2">
        <w:rPr>
          <w:rFonts w:ascii="Verdana" w:hAnsi="Verdana"/>
          <w:bCs/>
          <w:spacing w:val="-4"/>
          <w:kern w:val="0"/>
        </w:rPr>
        <w:t xml:space="preserve"> euro. </w:t>
      </w:r>
    </w:p>
    <w:p w14:paraId="768006EA" w14:textId="3B71B51F" w:rsidR="00797202" w:rsidRPr="00F137F0" w:rsidRDefault="00797202" w:rsidP="00F137F0">
      <w:pPr>
        <w:ind w:left="284" w:right="543"/>
        <w:jc w:val="both"/>
        <w:rPr>
          <w:rFonts w:ascii="Verdana" w:hAnsi="Verdana"/>
          <w:bCs/>
          <w:kern w:val="0"/>
          <w:sz w:val="14"/>
          <w:szCs w:val="14"/>
          <w:highlight w:val="yellow"/>
        </w:rPr>
      </w:pPr>
    </w:p>
    <w:p w14:paraId="6DB5716D" w14:textId="23102840" w:rsidR="0060068D" w:rsidRDefault="0060068D" w:rsidP="00F137F0">
      <w:pPr>
        <w:ind w:left="284" w:right="543"/>
        <w:jc w:val="both"/>
        <w:rPr>
          <w:rFonts w:ascii="Verdana" w:hAnsi="Verdana"/>
          <w:bCs/>
          <w:kern w:val="0"/>
        </w:rPr>
      </w:pPr>
      <w:r w:rsidRPr="00F137F0">
        <w:rPr>
          <w:rFonts w:ascii="Verdana" w:hAnsi="Verdana"/>
          <w:bCs/>
          <w:spacing w:val="-2"/>
          <w:kern w:val="0"/>
        </w:rPr>
        <w:t xml:space="preserve">L’iniziativa di Intesa Sanpaolo </w:t>
      </w:r>
      <w:r w:rsidR="00797202" w:rsidRPr="00F137F0">
        <w:rPr>
          <w:rFonts w:ascii="Verdana" w:hAnsi="Verdana"/>
          <w:bCs/>
          <w:spacing w:val="-2"/>
          <w:kern w:val="0"/>
        </w:rPr>
        <w:t>è in linea con</w:t>
      </w:r>
      <w:r w:rsidRPr="00F137F0">
        <w:rPr>
          <w:rFonts w:ascii="Verdana" w:hAnsi="Verdana"/>
          <w:bCs/>
          <w:spacing w:val="-2"/>
          <w:kern w:val="0"/>
        </w:rPr>
        <w:t xml:space="preserve"> le opportunità messe a disposizione </w:t>
      </w:r>
      <w:r w:rsidR="00F6076D">
        <w:rPr>
          <w:rFonts w:ascii="Verdana" w:hAnsi="Verdana"/>
          <w:bCs/>
          <w:spacing w:val="-2"/>
          <w:kern w:val="0"/>
        </w:rPr>
        <w:t xml:space="preserve">dalla banca </w:t>
      </w:r>
      <w:r w:rsidRPr="00F137F0">
        <w:rPr>
          <w:rFonts w:ascii="Verdana" w:hAnsi="Verdana"/>
          <w:bCs/>
          <w:spacing w:val="-2"/>
          <w:kern w:val="0"/>
        </w:rPr>
        <w:t>attraverso “</w:t>
      </w:r>
      <w:proofErr w:type="spellStart"/>
      <w:r w:rsidRPr="00F137F0">
        <w:rPr>
          <w:rFonts w:ascii="Verdana" w:hAnsi="Verdana"/>
          <w:bCs/>
          <w:spacing w:val="-2"/>
          <w:kern w:val="0"/>
        </w:rPr>
        <w:t>CresciBusiness</w:t>
      </w:r>
      <w:proofErr w:type="spellEnd"/>
      <w:r w:rsidRPr="00F137F0">
        <w:rPr>
          <w:rFonts w:ascii="Verdana" w:hAnsi="Verdana"/>
          <w:bCs/>
          <w:spacing w:val="-2"/>
          <w:kern w:val="0"/>
        </w:rPr>
        <w:t>”, un piano di 5 miliardi varato</w:t>
      </w:r>
      <w:r w:rsidR="006F70D5" w:rsidRPr="00F137F0">
        <w:rPr>
          <w:rFonts w:ascii="Verdana" w:hAnsi="Verdana"/>
          <w:bCs/>
          <w:spacing w:val="-2"/>
          <w:kern w:val="0"/>
        </w:rPr>
        <w:t xml:space="preserve"> lo scorso novembre</w:t>
      </w:r>
      <w:r w:rsidRPr="00F137F0">
        <w:rPr>
          <w:rFonts w:ascii="Verdana" w:hAnsi="Verdana"/>
          <w:bCs/>
          <w:spacing w:val="-2"/>
          <w:kern w:val="0"/>
        </w:rPr>
        <w:t xml:space="preserve"> per sostenere le piccole e piccolissime imprese dei settori </w:t>
      </w:r>
      <w:r w:rsidR="00164DCD">
        <w:rPr>
          <w:rFonts w:ascii="Verdana" w:hAnsi="Verdana"/>
          <w:bCs/>
          <w:spacing w:val="-2"/>
          <w:kern w:val="0"/>
        </w:rPr>
        <w:t>c</w:t>
      </w:r>
      <w:r w:rsidRPr="00F137F0">
        <w:rPr>
          <w:rFonts w:ascii="Verdana" w:hAnsi="Verdana"/>
          <w:bCs/>
          <w:spacing w:val="-2"/>
          <w:kern w:val="0"/>
        </w:rPr>
        <w:t xml:space="preserve">ommercio, </w:t>
      </w:r>
      <w:r w:rsidR="00164DCD">
        <w:rPr>
          <w:rFonts w:ascii="Verdana" w:hAnsi="Verdana"/>
          <w:bCs/>
          <w:spacing w:val="-2"/>
          <w:kern w:val="0"/>
        </w:rPr>
        <w:t>a</w:t>
      </w:r>
      <w:r w:rsidRPr="00F137F0">
        <w:rPr>
          <w:rFonts w:ascii="Verdana" w:hAnsi="Verdana"/>
          <w:bCs/>
          <w:spacing w:val="-2"/>
          <w:kern w:val="0"/>
        </w:rPr>
        <w:t xml:space="preserve">rtigianato e piccoli </w:t>
      </w:r>
      <w:r w:rsidR="00164DCD">
        <w:rPr>
          <w:rFonts w:ascii="Verdana" w:hAnsi="Verdana"/>
          <w:bCs/>
          <w:spacing w:val="-2"/>
          <w:kern w:val="0"/>
        </w:rPr>
        <w:t>a</w:t>
      </w:r>
      <w:r w:rsidRPr="00F137F0">
        <w:rPr>
          <w:rFonts w:ascii="Verdana" w:hAnsi="Verdana"/>
          <w:bCs/>
          <w:spacing w:val="-2"/>
          <w:kern w:val="0"/>
        </w:rPr>
        <w:t>lberghi - cir</w:t>
      </w:r>
      <w:r w:rsidR="00B85116">
        <w:rPr>
          <w:rFonts w:ascii="Verdana" w:hAnsi="Verdana"/>
          <w:bCs/>
          <w:spacing w:val="-2"/>
          <w:kern w:val="0"/>
        </w:rPr>
        <w:t>ca 500mila, quelle clienti del g</w:t>
      </w:r>
      <w:r w:rsidRPr="00F137F0">
        <w:rPr>
          <w:rFonts w:ascii="Verdana" w:hAnsi="Verdana"/>
          <w:bCs/>
          <w:spacing w:val="-2"/>
          <w:kern w:val="0"/>
        </w:rPr>
        <w:t>ruppo con fatt</w:t>
      </w:r>
      <w:r w:rsidR="00B85116">
        <w:rPr>
          <w:rFonts w:ascii="Verdana" w:hAnsi="Verdana"/>
          <w:bCs/>
          <w:spacing w:val="-2"/>
          <w:kern w:val="0"/>
        </w:rPr>
        <w:t>urato fino a 2,5 milioni</w:t>
      </w:r>
      <w:r w:rsidRPr="00F137F0">
        <w:rPr>
          <w:rFonts w:ascii="Verdana" w:hAnsi="Verdana"/>
          <w:bCs/>
          <w:spacing w:val="-2"/>
          <w:kern w:val="0"/>
        </w:rPr>
        <w:t xml:space="preserve"> - che rappresentano la fascia dell’imprenditoria più numerosa e più esposta ai rincari dell’</w:t>
      </w:r>
      <w:r w:rsidR="00B85116">
        <w:rPr>
          <w:rFonts w:ascii="Verdana" w:hAnsi="Verdana"/>
          <w:bCs/>
          <w:spacing w:val="-2"/>
          <w:kern w:val="0"/>
        </w:rPr>
        <w:t xml:space="preserve">energia, delle materie prime e </w:t>
      </w:r>
      <w:r w:rsidRPr="00F137F0">
        <w:rPr>
          <w:rFonts w:ascii="Verdana" w:hAnsi="Verdana"/>
          <w:bCs/>
          <w:spacing w:val="-2"/>
          <w:kern w:val="0"/>
        </w:rPr>
        <w:t xml:space="preserve">agli effetti della crisi internazionale. L’intervento si aggiunge ai </w:t>
      </w:r>
      <w:r w:rsidR="003264E2" w:rsidRPr="00B85116">
        <w:rPr>
          <w:rFonts w:ascii="Verdana" w:hAnsi="Verdana"/>
          <w:bCs/>
          <w:spacing w:val="-2"/>
          <w:kern w:val="0"/>
        </w:rPr>
        <w:t>4</w:t>
      </w:r>
      <w:r w:rsidRPr="00B85116">
        <w:rPr>
          <w:rFonts w:ascii="Verdana" w:hAnsi="Verdana"/>
          <w:bCs/>
          <w:spacing w:val="-2"/>
          <w:kern w:val="0"/>
        </w:rPr>
        <w:t>0 miliardi</w:t>
      </w:r>
      <w:r w:rsidRPr="00F137F0">
        <w:rPr>
          <w:rFonts w:ascii="Verdana" w:hAnsi="Verdana"/>
          <w:bCs/>
          <w:spacing w:val="-2"/>
          <w:kern w:val="0"/>
        </w:rPr>
        <w:t xml:space="preserve"> già stanziati da</w:t>
      </w:r>
      <w:r w:rsidR="00B85116">
        <w:rPr>
          <w:rFonts w:ascii="Verdana" w:hAnsi="Verdana"/>
          <w:bCs/>
          <w:spacing w:val="-2"/>
          <w:kern w:val="0"/>
        </w:rPr>
        <w:t xml:space="preserve"> Intesa Sanpaolo</w:t>
      </w:r>
      <w:r w:rsidRPr="00F137F0">
        <w:rPr>
          <w:rFonts w:ascii="Verdana" w:hAnsi="Verdana"/>
          <w:bCs/>
          <w:spacing w:val="-2"/>
          <w:kern w:val="0"/>
        </w:rPr>
        <w:t xml:space="preserve"> in favore </w:t>
      </w:r>
      <w:r w:rsidRPr="00B85116">
        <w:rPr>
          <w:rFonts w:ascii="Verdana" w:hAnsi="Verdana"/>
          <w:bCs/>
          <w:spacing w:val="-2"/>
          <w:kern w:val="0"/>
        </w:rPr>
        <w:t xml:space="preserve">di </w:t>
      </w:r>
      <w:proofErr w:type="spellStart"/>
      <w:r w:rsidRPr="00B85116">
        <w:rPr>
          <w:rFonts w:ascii="Verdana" w:hAnsi="Verdana"/>
          <w:bCs/>
          <w:spacing w:val="-2"/>
          <w:kern w:val="0"/>
        </w:rPr>
        <w:t>P</w:t>
      </w:r>
      <w:r w:rsidR="00B85116">
        <w:rPr>
          <w:rFonts w:ascii="Verdana" w:hAnsi="Verdana"/>
          <w:bCs/>
          <w:spacing w:val="-2"/>
          <w:kern w:val="0"/>
        </w:rPr>
        <w:t>mi</w:t>
      </w:r>
      <w:proofErr w:type="spellEnd"/>
      <w:r w:rsidRPr="00B85116">
        <w:rPr>
          <w:rFonts w:ascii="Verdana" w:hAnsi="Verdana"/>
          <w:bCs/>
          <w:spacing w:val="-2"/>
          <w:kern w:val="0"/>
        </w:rPr>
        <w:t xml:space="preserve"> e famiglie per contrastare</w:t>
      </w:r>
      <w:r w:rsidRPr="00F137F0">
        <w:rPr>
          <w:rFonts w:ascii="Verdana" w:hAnsi="Verdana"/>
          <w:bCs/>
          <w:spacing w:val="-2"/>
          <w:kern w:val="0"/>
        </w:rPr>
        <w:t xml:space="preserve"> il caro energia, parte degli oltre 4</w:t>
      </w:r>
      <w:r w:rsidR="006F70D5" w:rsidRPr="00F137F0">
        <w:rPr>
          <w:rFonts w:ascii="Verdana" w:hAnsi="Verdana"/>
          <w:bCs/>
          <w:spacing w:val="-2"/>
          <w:kern w:val="0"/>
        </w:rPr>
        <w:t>1</w:t>
      </w:r>
      <w:r w:rsidRPr="00F137F0">
        <w:rPr>
          <w:rFonts w:ascii="Verdana" w:hAnsi="Verdana"/>
          <w:bCs/>
          <w:spacing w:val="-2"/>
          <w:kern w:val="0"/>
        </w:rPr>
        <w:t xml:space="preserve">0 miliardi a supporto del </w:t>
      </w:r>
      <w:proofErr w:type="spellStart"/>
      <w:r w:rsidRPr="00F137F0">
        <w:rPr>
          <w:rFonts w:ascii="Verdana" w:hAnsi="Verdana"/>
          <w:bCs/>
          <w:spacing w:val="-2"/>
          <w:kern w:val="0"/>
        </w:rPr>
        <w:t>P</w:t>
      </w:r>
      <w:r w:rsidR="00B85116">
        <w:rPr>
          <w:rFonts w:ascii="Verdana" w:hAnsi="Verdana"/>
          <w:bCs/>
          <w:spacing w:val="-2"/>
          <w:kern w:val="0"/>
        </w:rPr>
        <w:t>nrr</w:t>
      </w:r>
      <w:proofErr w:type="spellEnd"/>
      <w:r w:rsidRPr="0060068D">
        <w:rPr>
          <w:rFonts w:ascii="Verdana" w:hAnsi="Verdana"/>
          <w:bCs/>
          <w:kern w:val="0"/>
        </w:rPr>
        <w:t xml:space="preserve">. </w:t>
      </w:r>
    </w:p>
    <w:p w14:paraId="08ED5DBA" w14:textId="77777777" w:rsidR="003264E2" w:rsidRPr="00F137F0" w:rsidRDefault="003264E2" w:rsidP="00F137F0">
      <w:pPr>
        <w:ind w:left="284" w:right="543"/>
        <w:jc w:val="both"/>
        <w:rPr>
          <w:rFonts w:ascii="Verdana" w:hAnsi="Verdana"/>
          <w:bCs/>
          <w:kern w:val="0"/>
          <w:sz w:val="14"/>
          <w:szCs w:val="14"/>
        </w:rPr>
      </w:pPr>
    </w:p>
    <w:p w14:paraId="2D4B69F9" w14:textId="77777777" w:rsidR="006F70D5" w:rsidRDefault="006F70D5" w:rsidP="00F137F0">
      <w:pPr>
        <w:ind w:left="284" w:right="543"/>
        <w:jc w:val="both"/>
        <w:rPr>
          <w:rFonts w:ascii="Verdana" w:hAnsi="Verdana"/>
          <w:bCs/>
          <w:kern w:val="0"/>
        </w:rPr>
      </w:pPr>
    </w:p>
    <w:p w14:paraId="5A8888F6" w14:textId="77777777" w:rsidR="0084422B" w:rsidRPr="00272179" w:rsidRDefault="0084422B" w:rsidP="00F137F0">
      <w:pPr>
        <w:ind w:right="543"/>
        <w:jc w:val="both"/>
        <w:rPr>
          <w:rFonts w:ascii="Verdana" w:hAnsi="Verdana"/>
          <w:bCs/>
          <w:kern w:val="0"/>
          <w:sz w:val="26"/>
          <w:szCs w:val="26"/>
        </w:rPr>
      </w:pPr>
    </w:p>
    <w:p w14:paraId="35FD5088" w14:textId="42AB44EE" w:rsidR="0084422B" w:rsidRPr="00272179" w:rsidRDefault="0074346D" w:rsidP="00F137F0">
      <w:pPr>
        <w:ind w:left="284" w:right="543"/>
        <w:jc w:val="both"/>
        <w:rPr>
          <w:rFonts w:ascii="Verdana" w:hAnsi="Verdana"/>
          <w:bCs/>
          <w:kern w:val="0"/>
          <w:highlight w:val="yellow"/>
        </w:rPr>
      </w:pPr>
      <w:r w:rsidRPr="00272179">
        <w:rPr>
          <w:rFonts w:ascii="Verdana" w:hAnsi="Verdana" w:cs="Arial"/>
          <w:color w:val="222222"/>
          <w:shd w:val="clear" w:color="auto" w:fill="FFFFFF"/>
        </w:rPr>
        <w:t xml:space="preserve">“Firenze </w:t>
      </w:r>
      <w:proofErr w:type="spellStart"/>
      <w:r w:rsidRPr="00272179">
        <w:rPr>
          <w:rFonts w:ascii="Verdana" w:hAnsi="Verdana" w:cs="Arial"/>
          <w:color w:val="222222"/>
          <w:shd w:val="clear" w:color="auto" w:fill="FFFFFF"/>
        </w:rPr>
        <w:t>cashless</w:t>
      </w:r>
      <w:proofErr w:type="spellEnd"/>
      <w:r w:rsidRPr="00272179">
        <w:rPr>
          <w:rFonts w:ascii="Verdana" w:hAnsi="Verdana" w:cs="Arial"/>
          <w:color w:val="222222"/>
          <w:shd w:val="clear" w:color="auto" w:fill="FFFFFF"/>
        </w:rPr>
        <w:t xml:space="preserve"> esprime la capacità della nostra città di cogliere al volo le novità oltre il lamento e viverle con intelligenza, con un grande spirito di adattamento su cui si innesta quello creativo, per migliorare e innovare. Ma Firenze è anche una città paziente e </w:t>
      </w:r>
      <w:proofErr w:type="gramStart"/>
      <w:r w:rsidRPr="00272179">
        <w:rPr>
          <w:rFonts w:ascii="Verdana" w:hAnsi="Verdana" w:cs="Arial"/>
          <w:color w:val="222222"/>
          <w:shd w:val="clear" w:color="auto" w:fill="FFFFFF"/>
        </w:rPr>
        <w:t>persuasiva,  che</w:t>
      </w:r>
      <w:proofErr w:type="gramEnd"/>
      <w:r w:rsidRPr="00272179">
        <w:rPr>
          <w:rFonts w:ascii="Verdana" w:hAnsi="Verdana" w:cs="Arial"/>
          <w:color w:val="222222"/>
          <w:shd w:val="clear" w:color="auto" w:fill="FFFFFF"/>
        </w:rPr>
        <w:t xml:space="preserve"> sa trascinare e vincere la ritrosia quando è evidente il miglioramento che porta un'iniziativa come questa, che mi auguro contagiosa</w:t>
      </w:r>
      <w:r w:rsidR="00D65FDB">
        <w:rPr>
          <w:rFonts w:ascii="Verdana" w:hAnsi="Verdana" w:cs="Arial"/>
          <w:color w:val="222222"/>
          <w:shd w:val="clear" w:color="auto" w:fill="FFFFFF"/>
        </w:rPr>
        <w:t xml:space="preserve">, e della quale ringrazio </w:t>
      </w:r>
      <w:r w:rsidRPr="00272179">
        <w:rPr>
          <w:rFonts w:ascii="Verdana" w:hAnsi="Verdana" w:cs="Arial"/>
          <w:color w:val="222222"/>
          <w:shd w:val="clear" w:color="auto" w:fill="FFFFFF"/>
        </w:rPr>
        <w:t>Intesa</w:t>
      </w:r>
      <w:r w:rsidR="00D65FDB">
        <w:rPr>
          <w:rFonts w:ascii="Verdana" w:hAnsi="Verdana" w:cs="Arial"/>
          <w:color w:val="222222"/>
          <w:shd w:val="clear" w:color="auto" w:fill="FFFFFF"/>
        </w:rPr>
        <w:t xml:space="preserve"> Sanpaolo</w:t>
      </w:r>
      <w:r w:rsidRPr="00272179">
        <w:rPr>
          <w:rFonts w:ascii="Verdana" w:hAnsi="Verdana" w:cs="Arial"/>
          <w:color w:val="222222"/>
          <w:shd w:val="clear" w:color="auto" w:fill="FFFFFF"/>
        </w:rPr>
        <w:t xml:space="preserve"> che ha saputo interpretare il tempo, ha colto la direzione del vento, e ha coniugato questa consapevolezza con un'offerta utilissima”, dice </w:t>
      </w:r>
      <w:r w:rsidRPr="00272179">
        <w:rPr>
          <w:rFonts w:ascii="Verdana" w:hAnsi="Verdana" w:cs="Arial"/>
          <w:b/>
          <w:color w:val="222222"/>
          <w:shd w:val="clear" w:color="auto" w:fill="FFFFFF"/>
        </w:rPr>
        <w:t>Dario Nardella</w:t>
      </w:r>
      <w:r w:rsidRPr="00272179">
        <w:rPr>
          <w:rFonts w:ascii="Verdana" w:hAnsi="Verdana" w:cs="Arial"/>
          <w:color w:val="222222"/>
          <w:shd w:val="clear" w:color="auto" w:fill="FFFFFF"/>
        </w:rPr>
        <w:t>, sindaco di Firenze e della Città metropolitana.</w:t>
      </w:r>
    </w:p>
    <w:p w14:paraId="6FCBBB63" w14:textId="77777777" w:rsidR="0074346D" w:rsidRDefault="0074346D" w:rsidP="00F137F0">
      <w:pPr>
        <w:ind w:left="284" w:right="543"/>
        <w:jc w:val="both"/>
        <w:rPr>
          <w:rFonts w:ascii="Verdana" w:hAnsi="Verdana"/>
          <w:bCs/>
          <w:kern w:val="0"/>
          <w:highlight w:val="yellow"/>
        </w:rPr>
      </w:pPr>
    </w:p>
    <w:p w14:paraId="01D5AA77" w14:textId="006DB2C5" w:rsidR="008D112E" w:rsidRPr="00272179" w:rsidRDefault="008D112E" w:rsidP="00F137F0">
      <w:pPr>
        <w:ind w:left="284" w:right="543"/>
        <w:jc w:val="both"/>
        <w:rPr>
          <w:rFonts w:ascii="Verdana" w:hAnsi="Verdana"/>
          <w:bCs/>
          <w:kern w:val="0"/>
        </w:rPr>
      </w:pPr>
      <w:r w:rsidRPr="00272179">
        <w:rPr>
          <w:rFonts w:ascii="Verdana" w:hAnsi="Verdana"/>
          <w:bCs/>
          <w:iCs/>
          <w:kern w:val="0"/>
        </w:rPr>
        <w:t xml:space="preserve">“Mi fa piacere che Intesa Sanpaolo abbia agito con convinzione sulle due principali leve per la crescita della moneta elettronica: la gratuità (senza oneri nascosti) e la premialità (se usi il </w:t>
      </w:r>
      <w:proofErr w:type="spellStart"/>
      <w:r w:rsidRPr="00272179">
        <w:rPr>
          <w:rFonts w:ascii="Verdana" w:hAnsi="Verdana"/>
          <w:bCs/>
          <w:iCs/>
          <w:kern w:val="0"/>
        </w:rPr>
        <w:t>pos</w:t>
      </w:r>
      <w:proofErr w:type="spellEnd"/>
      <w:r w:rsidRPr="00272179">
        <w:rPr>
          <w:rFonts w:ascii="Verdana" w:hAnsi="Verdana"/>
          <w:bCs/>
          <w:iCs/>
          <w:kern w:val="0"/>
        </w:rPr>
        <w:t xml:space="preserve">, allunghi la gratuità negli anni). La Camera di commercio interesserà anche </w:t>
      </w:r>
      <w:proofErr w:type="spellStart"/>
      <w:r w:rsidRPr="00272179">
        <w:rPr>
          <w:rFonts w:ascii="Verdana" w:hAnsi="Verdana"/>
          <w:bCs/>
          <w:iCs/>
          <w:kern w:val="0"/>
        </w:rPr>
        <w:t>Abi</w:t>
      </w:r>
      <w:proofErr w:type="spellEnd"/>
      <w:r w:rsidRPr="00272179">
        <w:rPr>
          <w:rFonts w:ascii="Verdana" w:hAnsi="Verdana"/>
          <w:bCs/>
          <w:iCs/>
          <w:kern w:val="0"/>
        </w:rPr>
        <w:t xml:space="preserve"> per coinvolgere in simili iniziative il maggior numero possibile di istituti di credito, in modo che le imprese possano usufruire di proposte </w:t>
      </w:r>
      <w:proofErr w:type="spellStart"/>
      <w:r w:rsidRPr="00272179">
        <w:rPr>
          <w:rFonts w:ascii="Verdana" w:hAnsi="Verdana"/>
          <w:bCs/>
          <w:iCs/>
          <w:kern w:val="0"/>
        </w:rPr>
        <w:t>cashless</w:t>
      </w:r>
      <w:proofErr w:type="spellEnd"/>
      <w:r w:rsidRPr="00272179">
        <w:rPr>
          <w:rFonts w:ascii="Verdana" w:hAnsi="Verdana"/>
          <w:bCs/>
          <w:iCs/>
          <w:kern w:val="0"/>
        </w:rPr>
        <w:t xml:space="preserve"> da parte di banche delle quali sono già clienti”, </w:t>
      </w:r>
      <w:r w:rsidRPr="00272179">
        <w:rPr>
          <w:rFonts w:ascii="Verdana" w:hAnsi="Verdana"/>
          <w:bCs/>
          <w:kern w:val="0"/>
        </w:rPr>
        <w:t xml:space="preserve">commenta </w:t>
      </w:r>
      <w:r w:rsidRPr="00272179">
        <w:rPr>
          <w:rFonts w:ascii="Verdana" w:hAnsi="Verdana"/>
          <w:b/>
          <w:kern w:val="0"/>
        </w:rPr>
        <w:t xml:space="preserve">Leonardo </w:t>
      </w:r>
      <w:proofErr w:type="spellStart"/>
      <w:r w:rsidRPr="00272179">
        <w:rPr>
          <w:rFonts w:ascii="Verdana" w:hAnsi="Verdana"/>
          <w:b/>
          <w:kern w:val="0"/>
        </w:rPr>
        <w:t>Bassilichi</w:t>
      </w:r>
      <w:proofErr w:type="spellEnd"/>
      <w:r w:rsidRPr="00272179">
        <w:rPr>
          <w:rFonts w:ascii="Verdana" w:hAnsi="Verdana"/>
          <w:bCs/>
          <w:kern w:val="0"/>
        </w:rPr>
        <w:t xml:space="preserve">, presidente della Camera di commercio di Firenze. </w:t>
      </w:r>
    </w:p>
    <w:p w14:paraId="09DED648" w14:textId="77777777" w:rsidR="00515AB7" w:rsidRPr="00F137F0" w:rsidRDefault="00515AB7" w:rsidP="00F137F0">
      <w:pPr>
        <w:ind w:left="284" w:right="543"/>
        <w:jc w:val="both"/>
        <w:rPr>
          <w:rFonts w:ascii="Verdana" w:hAnsi="Verdana"/>
          <w:bCs/>
          <w:i/>
          <w:iCs/>
          <w:spacing w:val="-2"/>
          <w:kern w:val="0"/>
        </w:rPr>
      </w:pPr>
    </w:p>
    <w:p w14:paraId="28C9144F" w14:textId="6ABD78A5" w:rsidR="00D65FDB" w:rsidRDefault="009079BA" w:rsidP="00F137F0">
      <w:pPr>
        <w:ind w:left="284" w:right="543"/>
        <w:jc w:val="both"/>
        <w:rPr>
          <w:rFonts w:ascii="Verdana" w:hAnsi="Verdana"/>
          <w:bCs/>
          <w:iCs/>
          <w:spacing w:val="-2"/>
          <w:kern w:val="0"/>
        </w:rPr>
      </w:pPr>
      <w:r w:rsidRPr="00272179">
        <w:rPr>
          <w:rFonts w:ascii="Verdana" w:hAnsi="Verdana"/>
          <w:bCs/>
          <w:iCs/>
          <w:spacing w:val="-2"/>
          <w:kern w:val="0"/>
        </w:rPr>
        <w:t xml:space="preserve">“La capacità attrattiva di Firenze </w:t>
      </w:r>
      <w:r w:rsidR="00D65FDB">
        <w:rPr>
          <w:rFonts w:ascii="Verdana" w:hAnsi="Verdana"/>
          <w:bCs/>
          <w:iCs/>
          <w:spacing w:val="-2"/>
          <w:kern w:val="0"/>
        </w:rPr>
        <w:t>è un elemento di grande forza per il territorio e di assoluta potenzialità per l’economia del Paese</w:t>
      </w:r>
      <w:r w:rsidRPr="00272179">
        <w:rPr>
          <w:rFonts w:ascii="Verdana" w:hAnsi="Verdana"/>
          <w:bCs/>
          <w:iCs/>
          <w:spacing w:val="-2"/>
          <w:kern w:val="0"/>
        </w:rPr>
        <w:t>.</w:t>
      </w:r>
      <w:r w:rsidR="00D65FDB">
        <w:rPr>
          <w:rFonts w:ascii="Verdana" w:hAnsi="Verdana"/>
          <w:bCs/>
          <w:iCs/>
          <w:spacing w:val="-2"/>
          <w:kern w:val="0"/>
        </w:rPr>
        <w:t xml:space="preserve"> Prendendo parte all’iniziativa </w:t>
      </w:r>
      <w:r w:rsidR="00570866" w:rsidRPr="00272179">
        <w:rPr>
          <w:rFonts w:ascii="Verdana" w:hAnsi="Verdana"/>
          <w:bCs/>
          <w:iCs/>
          <w:spacing w:val="-2"/>
          <w:kern w:val="0"/>
        </w:rPr>
        <w:t xml:space="preserve">Firenze </w:t>
      </w:r>
      <w:proofErr w:type="spellStart"/>
      <w:r w:rsidR="00570866" w:rsidRPr="00272179">
        <w:rPr>
          <w:rFonts w:ascii="Verdana" w:hAnsi="Verdana"/>
          <w:bCs/>
          <w:iCs/>
          <w:spacing w:val="-2"/>
          <w:kern w:val="0"/>
        </w:rPr>
        <w:t>CashLess</w:t>
      </w:r>
      <w:proofErr w:type="spellEnd"/>
      <w:r w:rsidR="00D65FDB">
        <w:rPr>
          <w:rFonts w:ascii="Verdana" w:hAnsi="Verdana"/>
          <w:bCs/>
          <w:iCs/>
          <w:spacing w:val="-2"/>
          <w:kern w:val="0"/>
        </w:rPr>
        <w:t xml:space="preserve">, la nostra banca intende favorire il consolidamento di questa caratteristica distintiva, fornendo una soluzione concreta alla richiesta delle istituzioni di intervenire sull’incremento dei costi che gli operatori stanno sostenendo </w:t>
      </w:r>
      <w:r w:rsidRPr="00272179">
        <w:rPr>
          <w:rFonts w:ascii="Verdana" w:hAnsi="Verdana"/>
          <w:bCs/>
          <w:iCs/>
          <w:spacing w:val="-2"/>
          <w:kern w:val="0"/>
        </w:rPr>
        <w:t xml:space="preserve">– </w:t>
      </w:r>
      <w:r w:rsidRPr="00272179">
        <w:rPr>
          <w:rFonts w:ascii="Verdana" w:hAnsi="Verdana"/>
          <w:bCs/>
          <w:spacing w:val="-2"/>
          <w:kern w:val="0"/>
        </w:rPr>
        <w:t xml:space="preserve">afferma </w:t>
      </w:r>
      <w:r w:rsidRPr="00272179">
        <w:rPr>
          <w:rFonts w:ascii="Verdana" w:hAnsi="Verdana"/>
          <w:b/>
          <w:spacing w:val="-2"/>
          <w:kern w:val="0"/>
        </w:rPr>
        <w:t xml:space="preserve">Stefano Barrese, </w:t>
      </w:r>
      <w:r w:rsidRPr="00272179">
        <w:rPr>
          <w:rFonts w:ascii="Verdana" w:hAnsi="Verdana"/>
          <w:bCs/>
          <w:spacing w:val="-2"/>
          <w:kern w:val="0"/>
        </w:rPr>
        <w:t xml:space="preserve">responsabile divisione Banca dei Territori Intesa Sanpaolo. </w:t>
      </w:r>
      <w:r w:rsidR="00472418" w:rsidRPr="00272179">
        <w:rPr>
          <w:rFonts w:ascii="Verdana" w:hAnsi="Verdana"/>
          <w:bCs/>
          <w:spacing w:val="-2"/>
          <w:kern w:val="0"/>
        </w:rPr>
        <w:t>–</w:t>
      </w:r>
      <w:r w:rsidRPr="00272179">
        <w:rPr>
          <w:rFonts w:ascii="Verdana" w:hAnsi="Verdana"/>
          <w:bCs/>
          <w:iCs/>
          <w:spacing w:val="-2"/>
          <w:kern w:val="0"/>
        </w:rPr>
        <w:t xml:space="preserve"> </w:t>
      </w:r>
      <w:r w:rsidR="00D65FDB">
        <w:rPr>
          <w:rFonts w:ascii="Verdana" w:hAnsi="Verdana"/>
          <w:bCs/>
          <w:iCs/>
          <w:spacing w:val="-2"/>
          <w:kern w:val="0"/>
        </w:rPr>
        <w:t xml:space="preserve">Grazie alla nostra Direzione regionale e alle nostre professionalità sul territorio, siamo al servizio del capoluogo toscano con gli strumenti e le iniziative più idonee a supportare l’economia. A ciò si aggiunge il nostro impegno per sostenere ulteriormente lo sviluppo dei servizi digitali di Firenze, città oggi all’avanguardia per l’innovazione digitale anche in ambito transnazionale”. </w:t>
      </w:r>
    </w:p>
    <w:p w14:paraId="20ADAF0F" w14:textId="77777777" w:rsidR="004157ED" w:rsidRPr="006E4F10" w:rsidRDefault="004157ED" w:rsidP="00F137F0">
      <w:pPr>
        <w:suppressAutoHyphens w:val="0"/>
        <w:ind w:right="543"/>
        <w:jc w:val="both"/>
        <w:rPr>
          <w:rStyle w:val="Nessuno"/>
          <w:kern w:val="0"/>
        </w:rPr>
      </w:pPr>
    </w:p>
    <w:p w14:paraId="1D604CA6" w14:textId="32963593" w:rsidR="004157ED" w:rsidRDefault="004157ED" w:rsidP="00F137F0">
      <w:pPr>
        <w:ind w:left="284" w:right="543"/>
        <w:jc w:val="both"/>
      </w:pPr>
    </w:p>
    <w:p w14:paraId="6900669D" w14:textId="77777777" w:rsidR="008E5F5D" w:rsidRDefault="008E5F5D" w:rsidP="00F137F0">
      <w:pPr>
        <w:ind w:left="284" w:right="543"/>
        <w:jc w:val="both"/>
      </w:pPr>
    </w:p>
    <w:p w14:paraId="23303E11" w14:textId="77777777" w:rsidR="008E5F5D" w:rsidRDefault="008E5F5D" w:rsidP="00F137F0">
      <w:pPr>
        <w:ind w:left="284" w:right="543"/>
        <w:jc w:val="both"/>
      </w:pPr>
    </w:p>
    <w:p w14:paraId="7EDD6892" w14:textId="77777777" w:rsidR="008E5F5D" w:rsidRPr="008E5F5D" w:rsidRDefault="008E5F5D" w:rsidP="008E5F5D">
      <w:pPr>
        <w:suppressAutoHyphens w:val="0"/>
        <w:ind w:left="284"/>
        <w:rPr>
          <w:rFonts w:ascii="Verdana" w:hAnsi="Verdana"/>
          <w:b/>
          <w:bCs/>
          <w:sz w:val="20"/>
          <w:szCs w:val="20"/>
        </w:rPr>
      </w:pPr>
      <w:r w:rsidRPr="008E5F5D">
        <w:rPr>
          <w:rFonts w:ascii="Verdana" w:hAnsi="Verdana"/>
          <w:b/>
          <w:bCs/>
          <w:sz w:val="20"/>
          <w:szCs w:val="20"/>
        </w:rPr>
        <w:t>Camera di commercio di Firenze</w:t>
      </w:r>
    </w:p>
    <w:p w14:paraId="08751EE1" w14:textId="0F019504" w:rsidR="008E5F5D" w:rsidRPr="008E5F5D" w:rsidRDefault="008E5F5D" w:rsidP="008E5F5D">
      <w:pPr>
        <w:suppressAutoHyphens w:val="0"/>
        <w:ind w:left="284"/>
        <w:rPr>
          <w:rFonts w:ascii="Verdana" w:hAnsi="Verdana" w:cs="Times New Roman"/>
          <w:color w:val="auto"/>
          <w:kern w:val="0"/>
          <w:sz w:val="20"/>
          <w:szCs w:val="20"/>
        </w:rPr>
      </w:pPr>
      <w:r w:rsidRPr="008E5F5D">
        <w:rPr>
          <w:rFonts w:ascii="Verdana" w:hAnsi="Verdana"/>
          <w:b/>
          <w:bCs/>
          <w:sz w:val="20"/>
          <w:szCs w:val="20"/>
        </w:rPr>
        <w:t>Ufficio Stampa - Tel. 055/2392172 - </w:t>
      </w:r>
      <w:hyperlink r:id="rId8" w:tgtFrame="_blank" w:history="1">
        <w:r w:rsidRPr="008E5F5D">
          <w:rPr>
            <w:rStyle w:val="Collegamentoipertestuale"/>
            <w:rFonts w:ascii="Verdana" w:hAnsi="Verdana"/>
            <w:color w:val="1155CC"/>
            <w:sz w:val="20"/>
            <w:szCs w:val="20"/>
          </w:rPr>
          <w:t>stampa@fi.camcom.it</w:t>
        </w:r>
      </w:hyperlink>
    </w:p>
    <w:p w14:paraId="102E4F7E" w14:textId="77777777" w:rsidR="008E5F5D" w:rsidRPr="008E5F5D" w:rsidRDefault="008E5F5D" w:rsidP="008E5F5D">
      <w:pPr>
        <w:ind w:left="284"/>
        <w:rPr>
          <w:rFonts w:ascii="Verdana" w:hAnsi="Verdana"/>
          <w:sz w:val="20"/>
          <w:szCs w:val="20"/>
        </w:rPr>
      </w:pPr>
      <w:r w:rsidRPr="008E5F5D">
        <w:rPr>
          <w:rFonts w:ascii="Verdana" w:hAnsi="Verdana"/>
          <w:sz w:val="20"/>
          <w:szCs w:val="20"/>
        </w:rPr>
        <w:t>Cesare Peruzzi - 335/5648426 - </w:t>
      </w:r>
      <w:hyperlink r:id="rId9" w:tgtFrame="_blank" w:history="1">
        <w:r w:rsidRPr="008E5F5D">
          <w:rPr>
            <w:rStyle w:val="Collegamentoipertestuale"/>
            <w:rFonts w:ascii="Verdana" w:hAnsi="Verdana"/>
            <w:color w:val="1155CC"/>
            <w:sz w:val="20"/>
            <w:szCs w:val="20"/>
          </w:rPr>
          <w:t>cesare.peruzzi@fi.camcom.it</w:t>
        </w:r>
      </w:hyperlink>
    </w:p>
    <w:p w14:paraId="5BAC5FA0" w14:textId="77777777" w:rsidR="008E5F5D" w:rsidRPr="008E5F5D" w:rsidRDefault="008E5F5D" w:rsidP="008E5F5D">
      <w:pPr>
        <w:ind w:left="284"/>
        <w:rPr>
          <w:rFonts w:ascii="Verdana" w:hAnsi="Verdana"/>
          <w:sz w:val="20"/>
          <w:szCs w:val="20"/>
        </w:rPr>
      </w:pPr>
      <w:r w:rsidRPr="008E5F5D">
        <w:rPr>
          <w:rFonts w:ascii="Verdana" w:hAnsi="Verdana"/>
          <w:sz w:val="20"/>
          <w:szCs w:val="20"/>
        </w:rPr>
        <w:t>Antonella Berti - 338/8827455 - </w:t>
      </w:r>
      <w:hyperlink r:id="rId10" w:tgtFrame="_blank" w:history="1">
        <w:r w:rsidRPr="008E5F5D">
          <w:rPr>
            <w:rStyle w:val="Collegamentoipertestuale"/>
            <w:rFonts w:ascii="Verdana" w:hAnsi="Verdana"/>
            <w:color w:val="1155CC"/>
            <w:sz w:val="20"/>
            <w:szCs w:val="20"/>
          </w:rPr>
          <w:t>antonella.berti@fi.camcom.it</w:t>
        </w:r>
      </w:hyperlink>
    </w:p>
    <w:p w14:paraId="0CC9C787" w14:textId="77777777" w:rsidR="008E5F5D" w:rsidRPr="008E5F5D" w:rsidRDefault="008E5F5D" w:rsidP="00F137F0">
      <w:pPr>
        <w:ind w:left="284" w:right="543"/>
        <w:jc w:val="both"/>
        <w:rPr>
          <w:rFonts w:ascii="Verdana" w:hAnsi="Verdana"/>
          <w:sz w:val="20"/>
          <w:szCs w:val="20"/>
        </w:rPr>
      </w:pPr>
    </w:p>
    <w:p w14:paraId="33F8461C" w14:textId="77777777" w:rsidR="008E5F5D" w:rsidRPr="008E5F5D" w:rsidRDefault="008E5F5D" w:rsidP="00F137F0">
      <w:pPr>
        <w:ind w:left="284" w:right="543"/>
        <w:jc w:val="both"/>
        <w:rPr>
          <w:rFonts w:ascii="Verdana" w:hAnsi="Verdana"/>
          <w:sz w:val="20"/>
          <w:szCs w:val="20"/>
        </w:rPr>
      </w:pPr>
    </w:p>
    <w:p w14:paraId="4F569A1A" w14:textId="77777777" w:rsidR="008E5F5D" w:rsidRPr="008E5F5D" w:rsidRDefault="008E5F5D" w:rsidP="008E5F5D">
      <w:pPr>
        <w:ind w:left="284" w:right="543"/>
        <w:jc w:val="both"/>
        <w:rPr>
          <w:rFonts w:ascii="Verdana" w:hAnsi="Verdana"/>
          <w:b/>
          <w:sz w:val="20"/>
          <w:szCs w:val="20"/>
        </w:rPr>
      </w:pPr>
      <w:r w:rsidRPr="008E5F5D">
        <w:rPr>
          <w:rFonts w:ascii="Verdana" w:hAnsi="Verdana"/>
          <w:b/>
          <w:sz w:val="20"/>
          <w:szCs w:val="20"/>
        </w:rPr>
        <w:t>Intesa Sanpaolo</w:t>
      </w:r>
    </w:p>
    <w:p w14:paraId="4862ACDD" w14:textId="77777777" w:rsidR="008E5F5D" w:rsidRPr="008E5F5D" w:rsidRDefault="008E5F5D" w:rsidP="008E5F5D">
      <w:pPr>
        <w:ind w:left="284" w:right="543"/>
        <w:jc w:val="both"/>
        <w:rPr>
          <w:rFonts w:ascii="Verdana" w:hAnsi="Verdana"/>
          <w:b/>
          <w:sz w:val="20"/>
          <w:szCs w:val="20"/>
        </w:rPr>
      </w:pPr>
      <w:r w:rsidRPr="008E5F5D">
        <w:rPr>
          <w:rFonts w:ascii="Verdana" w:hAnsi="Verdana"/>
          <w:b/>
          <w:sz w:val="20"/>
          <w:szCs w:val="20"/>
        </w:rPr>
        <w:t>Media Relations Banca dei Territori e Media locali</w:t>
      </w:r>
    </w:p>
    <w:p w14:paraId="0C8E76D3" w14:textId="77777777" w:rsidR="008E5F5D" w:rsidRPr="008E5F5D" w:rsidRDefault="008E5F5D" w:rsidP="008E5F5D">
      <w:pPr>
        <w:ind w:left="284" w:right="543"/>
        <w:jc w:val="both"/>
        <w:rPr>
          <w:rFonts w:ascii="Verdana" w:hAnsi="Verdana"/>
          <w:sz w:val="20"/>
          <w:szCs w:val="20"/>
        </w:rPr>
      </w:pPr>
      <w:r w:rsidRPr="008E5F5D">
        <w:rPr>
          <w:rFonts w:ascii="Verdana" w:hAnsi="Verdana"/>
          <w:sz w:val="20"/>
          <w:szCs w:val="20"/>
        </w:rPr>
        <w:t>stampa@intesasanpaolo.com</w:t>
      </w:r>
    </w:p>
    <w:p w14:paraId="4F6D929D" w14:textId="50713CA4" w:rsidR="008E5F5D" w:rsidRPr="008E5F5D" w:rsidRDefault="008E5F5D" w:rsidP="008E5F5D">
      <w:pPr>
        <w:ind w:left="284" w:right="543"/>
        <w:jc w:val="both"/>
        <w:rPr>
          <w:rFonts w:ascii="Verdana" w:hAnsi="Verdana"/>
          <w:sz w:val="20"/>
          <w:szCs w:val="20"/>
        </w:rPr>
      </w:pPr>
      <w:r w:rsidRPr="008E5F5D">
        <w:rPr>
          <w:rFonts w:ascii="Verdana" w:hAnsi="Verdana"/>
          <w:sz w:val="20"/>
          <w:szCs w:val="20"/>
        </w:rPr>
        <w:t>www.intesasanpaolo.com/it/news</w:t>
      </w:r>
    </w:p>
    <w:sectPr w:rsidR="008E5F5D" w:rsidRPr="008E5F5D" w:rsidSect="002A26D1">
      <w:headerReference w:type="default" r:id="rId11"/>
      <w:pgSz w:w="11900" w:h="16840"/>
      <w:pgMar w:top="1975" w:right="720" w:bottom="709" w:left="720" w:header="708" w:footer="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7FA50" w14:textId="77777777" w:rsidR="002C1063" w:rsidRDefault="002C1063">
      <w:r>
        <w:separator/>
      </w:r>
    </w:p>
  </w:endnote>
  <w:endnote w:type="continuationSeparator" w:id="0">
    <w:p w14:paraId="2A89A635" w14:textId="77777777" w:rsidR="002C1063" w:rsidRDefault="002C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BFD78" w14:textId="77777777" w:rsidR="002C1063" w:rsidRDefault="002C1063">
      <w:r>
        <w:separator/>
      </w:r>
    </w:p>
  </w:footnote>
  <w:footnote w:type="continuationSeparator" w:id="0">
    <w:p w14:paraId="51E72F56" w14:textId="77777777" w:rsidR="002C1063" w:rsidRDefault="002C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5C885" w14:textId="6B788D71" w:rsidR="004157ED" w:rsidRDefault="00201DD5" w:rsidP="007A7735">
    <w:r>
      <w:rPr>
        <w:noProof/>
      </w:rPr>
      <w:drawing>
        <wp:anchor distT="0" distB="0" distL="114300" distR="114300" simplePos="0" relativeHeight="251751936" behindDoc="1" locked="0" layoutInCell="1" allowOverlap="1" wp14:anchorId="054121AF" wp14:editId="59AF8C4D">
          <wp:simplePos x="0" y="0"/>
          <wp:positionH relativeFrom="column">
            <wp:posOffset>0</wp:posOffset>
          </wp:positionH>
          <wp:positionV relativeFrom="paragraph">
            <wp:posOffset>-91292</wp:posOffset>
          </wp:positionV>
          <wp:extent cx="1860550" cy="601345"/>
          <wp:effectExtent l="0" t="0" r="6350" b="8255"/>
          <wp:wrapTight wrapText="bothSides">
            <wp:wrapPolygon edited="0">
              <wp:start x="0" y="0"/>
              <wp:lineTo x="0" y="21212"/>
              <wp:lineTo x="21453" y="21212"/>
              <wp:lineTo x="2145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ciaa_2021_448x33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5C9">
      <w:rPr>
        <w:noProof/>
      </w:rPr>
      <w:drawing>
        <wp:anchor distT="0" distB="0" distL="114300" distR="114300" simplePos="0" relativeHeight="251750912" behindDoc="1" locked="0" layoutInCell="1" allowOverlap="1" wp14:anchorId="4DE9FAF5" wp14:editId="0AD720FD">
          <wp:simplePos x="0" y="0"/>
          <wp:positionH relativeFrom="column">
            <wp:posOffset>2541078</wp:posOffset>
          </wp:positionH>
          <wp:positionV relativeFrom="paragraph">
            <wp:posOffset>-354168</wp:posOffset>
          </wp:positionV>
          <wp:extent cx="1147445" cy="1147445"/>
          <wp:effectExtent l="0" t="0" r="0" b="0"/>
          <wp:wrapTight wrapText="bothSides">
            <wp:wrapPolygon edited="0">
              <wp:start x="0" y="0"/>
              <wp:lineTo x="0" y="21158"/>
              <wp:lineTo x="21158" y="21158"/>
              <wp:lineTo x="21158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150-logo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5C9">
      <w:rPr>
        <w:noProof/>
      </w:rPr>
      <w:drawing>
        <wp:anchor distT="0" distB="0" distL="114300" distR="114300" simplePos="0" relativeHeight="251742720" behindDoc="1" locked="0" layoutInCell="1" allowOverlap="1" wp14:anchorId="313F8840" wp14:editId="35048EE6">
          <wp:simplePos x="0" y="0"/>
          <wp:positionH relativeFrom="column">
            <wp:posOffset>4337847</wp:posOffset>
          </wp:positionH>
          <wp:positionV relativeFrom="paragraph">
            <wp:posOffset>54167</wp:posOffset>
          </wp:positionV>
          <wp:extent cx="2289810" cy="325120"/>
          <wp:effectExtent l="0" t="0" r="0" b="0"/>
          <wp:wrapTight wrapText="bothSides">
            <wp:wrapPolygon edited="0">
              <wp:start x="0" y="0"/>
              <wp:lineTo x="0" y="20250"/>
              <wp:lineTo x="21384" y="20250"/>
              <wp:lineTo x="21384" y="0"/>
              <wp:lineTo x="0" y="0"/>
            </wp:wrapPolygon>
          </wp:wrapTight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89810" cy="3251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5C9"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59B9CB25" wp14:editId="0B691E83">
              <wp:simplePos x="0" y="0"/>
              <wp:positionH relativeFrom="column">
                <wp:posOffset>3593465</wp:posOffset>
              </wp:positionH>
              <wp:positionV relativeFrom="paragraph">
                <wp:posOffset>-88265</wp:posOffset>
              </wp:positionV>
              <wp:extent cx="2768600" cy="393700"/>
              <wp:effectExtent l="0" t="0" r="0" b="6350"/>
              <wp:wrapNone/>
              <wp:docPr id="1073741826" name="Shape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6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1F48BE7" id="Shape 1073741826" o:spid="_x0000_s1026" style="position:absolute;margin-left:282.95pt;margin-top:-6.95pt;width:218pt;height:3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" stroked="f" strokeweight="1pt">
              <v:stroke miterlimit="4"/>
            </v:rect>
          </w:pict>
        </mc:Fallback>
      </mc:AlternateContent>
    </w:r>
    <w:r w:rsidR="00D55F1E">
      <w:rPr>
        <w:noProof/>
      </w:rPr>
      <w:t xml:space="preserve">                   </w:t>
    </w:r>
    <w:r w:rsidR="00CF79B9">
      <w:rPr>
        <w:noProof/>
      </w:rPr>
      <w:t xml:space="preserve">                                                                       </w:t>
    </w:r>
  </w:p>
  <w:p w14:paraId="44E2BF50" w14:textId="246F5E07" w:rsidR="004157ED" w:rsidRDefault="002A75C9" w:rsidP="002A75C9">
    <w:pPr>
      <w:tabs>
        <w:tab w:val="left" w:pos="13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4452"/>
    <w:multiLevelType w:val="hybridMultilevel"/>
    <w:tmpl w:val="E2CADE9C"/>
    <w:lvl w:ilvl="0" w:tplc="821E5DD4">
      <w:numFmt w:val="bullet"/>
      <w:lvlText w:val="-"/>
      <w:lvlJc w:val="left"/>
      <w:pPr>
        <w:ind w:left="644" w:hanging="360"/>
      </w:pPr>
      <w:rPr>
        <w:rFonts w:ascii="Verdana" w:eastAsia="Calibri" w:hAnsi="Verdana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BC2015"/>
    <w:multiLevelType w:val="hybridMultilevel"/>
    <w:tmpl w:val="FFA886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4970"/>
    <w:multiLevelType w:val="multilevel"/>
    <w:tmpl w:val="3E3C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5681F"/>
    <w:multiLevelType w:val="hybridMultilevel"/>
    <w:tmpl w:val="5B8CA5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ED"/>
    <w:rsid w:val="000130D3"/>
    <w:rsid w:val="000149AB"/>
    <w:rsid w:val="00023716"/>
    <w:rsid w:val="000334F0"/>
    <w:rsid w:val="00033C11"/>
    <w:rsid w:val="00040348"/>
    <w:rsid w:val="00054246"/>
    <w:rsid w:val="00060994"/>
    <w:rsid w:val="000F3FEC"/>
    <w:rsid w:val="00143733"/>
    <w:rsid w:val="0015716E"/>
    <w:rsid w:val="0016163B"/>
    <w:rsid w:val="00164DCD"/>
    <w:rsid w:val="00167534"/>
    <w:rsid w:val="0017019A"/>
    <w:rsid w:val="00172187"/>
    <w:rsid w:val="001A13E1"/>
    <w:rsid w:val="001A1F08"/>
    <w:rsid w:val="001C0FA4"/>
    <w:rsid w:val="0020115A"/>
    <w:rsid w:val="00201DD5"/>
    <w:rsid w:val="00207CD9"/>
    <w:rsid w:val="00272179"/>
    <w:rsid w:val="002A26D1"/>
    <w:rsid w:val="002A3F54"/>
    <w:rsid w:val="002A75C9"/>
    <w:rsid w:val="002C1063"/>
    <w:rsid w:val="002D1250"/>
    <w:rsid w:val="00314C16"/>
    <w:rsid w:val="003264E2"/>
    <w:rsid w:val="003523A6"/>
    <w:rsid w:val="00364E03"/>
    <w:rsid w:val="0039106B"/>
    <w:rsid w:val="004157ED"/>
    <w:rsid w:val="0043299B"/>
    <w:rsid w:val="00436C23"/>
    <w:rsid w:val="00437D87"/>
    <w:rsid w:val="00461ABF"/>
    <w:rsid w:val="00466BB0"/>
    <w:rsid w:val="00472418"/>
    <w:rsid w:val="0047742B"/>
    <w:rsid w:val="004A3465"/>
    <w:rsid w:val="004D30AB"/>
    <w:rsid w:val="004D4BCB"/>
    <w:rsid w:val="004E6625"/>
    <w:rsid w:val="00515AB7"/>
    <w:rsid w:val="0053323B"/>
    <w:rsid w:val="005360B7"/>
    <w:rsid w:val="00552F59"/>
    <w:rsid w:val="00570866"/>
    <w:rsid w:val="00571554"/>
    <w:rsid w:val="00591757"/>
    <w:rsid w:val="005A2431"/>
    <w:rsid w:val="005A246A"/>
    <w:rsid w:val="005B7C5F"/>
    <w:rsid w:val="005D37E3"/>
    <w:rsid w:val="005D467D"/>
    <w:rsid w:val="005E107F"/>
    <w:rsid w:val="005F5386"/>
    <w:rsid w:val="0060068D"/>
    <w:rsid w:val="00600D89"/>
    <w:rsid w:val="00602159"/>
    <w:rsid w:val="00650AAD"/>
    <w:rsid w:val="006545BC"/>
    <w:rsid w:val="00654740"/>
    <w:rsid w:val="00692F9B"/>
    <w:rsid w:val="006A04D6"/>
    <w:rsid w:val="006A3BAE"/>
    <w:rsid w:val="006E4F10"/>
    <w:rsid w:val="006E79A0"/>
    <w:rsid w:val="006F70D5"/>
    <w:rsid w:val="00701250"/>
    <w:rsid w:val="007361CB"/>
    <w:rsid w:val="0074346D"/>
    <w:rsid w:val="00743B2E"/>
    <w:rsid w:val="007546C2"/>
    <w:rsid w:val="0079649F"/>
    <w:rsid w:val="00797202"/>
    <w:rsid w:val="007A7735"/>
    <w:rsid w:val="007B11C5"/>
    <w:rsid w:val="007C2543"/>
    <w:rsid w:val="007C4C23"/>
    <w:rsid w:val="007C739E"/>
    <w:rsid w:val="007E6D2A"/>
    <w:rsid w:val="00817E1C"/>
    <w:rsid w:val="0084422B"/>
    <w:rsid w:val="00877D72"/>
    <w:rsid w:val="00890618"/>
    <w:rsid w:val="008C266C"/>
    <w:rsid w:val="008D112E"/>
    <w:rsid w:val="008E2D73"/>
    <w:rsid w:val="008E5F5D"/>
    <w:rsid w:val="008F090E"/>
    <w:rsid w:val="008F6A14"/>
    <w:rsid w:val="009079BA"/>
    <w:rsid w:val="00921F4B"/>
    <w:rsid w:val="00934DC4"/>
    <w:rsid w:val="00962FC6"/>
    <w:rsid w:val="00985DB4"/>
    <w:rsid w:val="009951EB"/>
    <w:rsid w:val="009B6AF4"/>
    <w:rsid w:val="009B6D21"/>
    <w:rsid w:val="009C3240"/>
    <w:rsid w:val="009D62A4"/>
    <w:rsid w:val="009D7B65"/>
    <w:rsid w:val="009F4E3E"/>
    <w:rsid w:val="009F542A"/>
    <w:rsid w:val="00A02738"/>
    <w:rsid w:val="00A15D43"/>
    <w:rsid w:val="00A2338A"/>
    <w:rsid w:val="00A346EA"/>
    <w:rsid w:val="00A61CC8"/>
    <w:rsid w:val="00A66D05"/>
    <w:rsid w:val="00A8171D"/>
    <w:rsid w:val="00A870D1"/>
    <w:rsid w:val="00A93A91"/>
    <w:rsid w:val="00AA585F"/>
    <w:rsid w:val="00AB23F8"/>
    <w:rsid w:val="00B04D2B"/>
    <w:rsid w:val="00B210EF"/>
    <w:rsid w:val="00B23AC0"/>
    <w:rsid w:val="00B85116"/>
    <w:rsid w:val="00B87800"/>
    <w:rsid w:val="00BB7D0B"/>
    <w:rsid w:val="00BD1CEA"/>
    <w:rsid w:val="00BD3FD9"/>
    <w:rsid w:val="00BD4ACB"/>
    <w:rsid w:val="00BD6BD4"/>
    <w:rsid w:val="00BF78CB"/>
    <w:rsid w:val="00C06FC9"/>
    <w:rsid w:val="00C73EEC"/>
    <w:rsid w:val="00C8128C"/>
    <w:rsid w:val="00CA1E8A"/>
    <w:rsid w:val="00CA4433"/>
    <w:rsid w:val="00CB6FBA"/>
    <w:rsid w:val="00CD4DFC"/>
    <w:rsid w:val="00CE5082"/>
    <w:rsid w:val="00CF1CC6"/>
    <w:rsid w:val="00CF79B9"/>
    <w:rsid w:val="00D033CF"/>
    <w:rsid w:val="00D0350F"/>
    <w:rsid w:val="00D05912"/>
    <w:rsid w:val="00D41486"/>
    <w:rsid w:val="00D514BF"/>
    <w:rsid w:val="00D55F1E"/>
    <w:rsid w:val="00D65FDB"/>
    <w:rsid w:val="00D817AD"/>
    <w:rsid w:val="00DA1960"/>
    <w:rsid w:val="00DB647B"/>
    <w:rsid w:val="00DB7183"/>
    <w:rsid w:val="00DE2EED"/>
    <w:rsid w:val="00DE4B0D"/>
    <w:rsid w:val="00E075DD"/>
    <w:rsid w:val="00E14181"/>
    <w:rsid w:val="00E1526D"/>
    <w:rsid w:val="00E3715B"/>
    <w:rsid w:val="00E57E3D"/>
    <w:rsid w:val="00E57E7E"/>
    <w:rsid w:val="00E91536"/>
    <w:rsid w:val="00E94733"/>
    <w:rsid w:val="00EB0F00"/>
    <w:rsid w:val="00EB2908"/>
    <w:rsid w:val="00EC1014"/>
    <w:rsid w:val="00EC4C90"/>
    <w:rsid w:val="00EF6DF8"/>
    <w:rsid w:val="00F137F0"/>
    <w:rsid w:val="00F217FF"/>
    <w:rsid w:val="00F41FF7"/>
    <w:rsid w:val="00F54A9E"/>
    <w:rsid w:val="00F6076D"/>
    <w:rsid w:val="00F624FA"/>
    <w:rsid w:val="00F93C03"/>
    <w:rsid w:val="00FC2377"/>
    <w:rsid w:val="00FC72AA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3353C6"/>
  <w15:docId w15:val="{1FED4323-14A9-4F34-B712-822BAFDC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7E6D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Paragrafoelenco1">
    <w:name w:val="Paragrafo elenco1"/>
    <w:pPr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563C1"/>
      <w:kern w:val="0"/>
      <w:sz w:val="18"/>
      <w:szCs w:val="18"/>
      <w:u w:val="single" w:color="0563C1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color w:val="0000FF"/>
      <w:kern w:val="0"/>
      <w:sz w:val="18"/>
      <w:szCs w:val="18"/>
      <w:u w:val="single" w:color="0000FF"/>
    </w:r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Century Gothic" w:hAnsi="Century Gothic" w:cs="Arial Unicode MS"/>
      <w:color w:val="000000"/>
      <w:kern w:val="1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character" w:customStyle="1" w:styleId="Hyperlink2">
    <w:name w:val="Hyperlink.2"/>
    <w:basedOn w:val="Nessuno"/>
    <w:rPr>
      <w:rFonts w:ascii="Times New Roman" w:eastAsia="Times New Roman" w:hAnsi="Times New Roman" w:cs="Times New Roman"/>
      <w:color w:val="0563C1"/>
      <w:sz w:val="16"/>
      <w:szCs w:val="16"/>
      <w:u w:val="single" w:color="0563C1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character" w:customStyle="1" w:styleId="Hyperlink3">
    <w:name w:val="Hyperlink.3"/>
    <w:basedOn w:val="Nessuno"/>
    <w:rPr>
      <w:color w:val="000000"/>
      <w:kern w:val="0"/>
      <w:sz w:val="18"/>
      <w:szCs w:val="18"/>
      <w:u w:color="000000"/>
      <w:lang w:val="en-US"/>
    </w:rPr>
  </w:style>
  <w:style w:type="character" w:customStyle="1" w:styleId="Hyperlink4">
    <w:name w:val="Hyperlink.4"/>
    <w:basedOn w:val="Nessuno"/>
    <w:rPr>
      <w:color w:val="000000"/>
      <w:kern w:val="0"/>
      <w:sz w:val="18"/>
      <w:szCs w:val="18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D2A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7964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79649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6D0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qFormat/>
    <w:rsid w:val="00907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40" w:line="240" w:lineRule="atLeast"/>
      <w:jc w:val="both"/>
    </w:pPr>
    <w:rPr>
      <w:rFonts w:ascii="Century Gothic" w:eastAsia="Times New Roman" w:hAnsi="Century Gothic" w:cs="Times New Roman"/>
      <w:color w:val="auto"/>
      <w:kern w:val="0"/>
      <w:sz w:val="16"/>
      <w:szCs w:val="20"/>
      <w:bdr w:val="none" w:sz="0" w:space="0" w:color="auto"/>
      <w:lang w:eastAsia="en-GB"/>
    </w:rPr>
  </w:style>
  <w:style w:type="character" w:customStyle="1" w:styleId="CorpotestoCarattere">
    <w:name w:val="Corpo testo Carattere"/>
    <w:basedOn w:val="Carpredefinitoparagrafo"/>
    <w:link w:val="Corpotesto"/>
    <w:rsid w:val="009079BA"/>
    <w:rPr>
      <w:rFonts w:ascii="Century Gothic" w:eastAsia="Times New Roman" w:hAnsi="Century Gothic"/>
      <w:sz w:val="16"/>
      <w:bdr w:val="none" w:sz="0" w:space="0" w:color="auto"/>
      <w:lang w:eastAsia="en-GB"/>
    </w:rPr>
  </w:style>
  <w:style w:type="paragraph" w:styleId="Testonotaapidipagina">
    <w:name w:val="footnote text"/>
    <w:basedOn w:val="Normale"/>
    <w:link w:val="TestonotaapidipaginaCarattere"/>
    <w:rsid w:val="00907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both"/>
    </w:pPr>
    <w:rPr>
      <w:rFonts w:ascii="Century Gothic" w:eastAsia="Times New Roman" w:hAnsi="Century Gothic" w:cs="Times New Roman"/>
      <w:color w:val="auto"/>
      <w:kern w:val="0"/>
      <w:sz w:val="20"/>
      <w:szCs w:val="20"/>
      <w:bdr w:val="none" w:sz="0" w:space="0" w:color="auto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9BA"/>
    <w:rPr>
      <w:rFonts w:ascii="Century Gothic" w:eastAsia="Times New Roman" w:hAnsi="Century Gothic"/>
      <w:bdr w:val="none" w:sz="0" w:space="0" w:color="auto"/>
      <w:lang w:eastAsia="en-GB"/>
    </w:rPr>
  </w:style>
  <w:style w:type="character" w:styleId="Rimandonotaapidipagina">
    <w:name w:val="footnote reference"/>
    <w:basedOn w:val="Carpredefinitoparagrafo"/>
    <w:rsid w:val="009079B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616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16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163B"/>
    <w:rPr>
      <w:rFonts w:cs="Arial Unicode MS"/>
      <w:color w:val="000000"/>
      <w:kern w:val="1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16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163B"/>
    <w:rPr>
      <w:rFonts w:cs="Arial Unicode MS"/>
      <w:b/>
      <w:bCs/>
      <w:color w:val="000000"/>
      <w:kern w:val="1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E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EEC"/>
    <w:rPr>
      <w:rFonts w:ascii="Segoe UI" w:hAnsi="Segoe UI" w:cs="Segoe UI"/>
      <w:color w:val="000000"/>
      <w:kern w:val="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84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72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34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1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fi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tonella.berti@f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are.peruzzi@fi.camco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6933-5405-4779-AB0F-E85A4276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ZANI DANILO</dc:creator>
  <cp:lastModifiedBy>Antonella Berti</cp:lastModifiedBy>
  <cp:revision>2</cp:revision>
  <cp:lastPrinted>2023-03-20T09:22:00Z</cp:lastPrinted>
  <dcterms:created xsi:type="dcterms:W3CDTF">2023-03-20T09:23:00Z</dcterms:created>
  <dcterms:modified xsi:type="dcterms:W3CDTF">2023-03-20T09:23:00Z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2022-12-06T12:25:00Z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ede46624-4331-4db6-9a8a-c55db0faaf15</vt:lpwstr>
  </property>
  <property fmtid="{D5CDD505-2E9C-101B-9397-08002B2CF9AE}" pid="8" name="MSIP_Label_5f5fe31f-9de1-4167-a753-111c0df8115f_ContentBits">
    <vt:lpwstr>0</vt:lpwstr>
  </property>
  <property fmtid="{D5CDD505-2E9C-101B-9397-08002B2CF9AE}" pid="9" name="MSIP_Label_be62b6ef-db1a-4e15-b1cb-16e3a6a11a3f_Enabled">
    <vt:lpwstr>true</vt:lpwstr>
  </property>
  <property fmtid="{D5CDD505-2E9C-101B-9397-08002B2CF9AE}" pid="10" name="MSIP_Label_be62b6ef-db1a-4e15-b1cb-16e3a6a11a3f_SetDate">
    <vt:lpwstr>2022-12-07T13:47:35Z</vt:lpwstr>
  </property>
  <property fmtid="{D5CDD505-2E9C-101B-9397-08002B2CF9AE}" pid="11" name="MSIP_Label_be62b6ef-db1a-4e15-b1cb-16e3a6a11a3f_Method">
    <vt:lpwstr>Privileged</vt:lpwstr>
  </property>
  <property fmtid="{D5CDD505-2E9C-101B-9397-08002B2CF9AE}" pid="12" name="MSIP_Label_be62b6ef-db1a-4e15-b1cb-16e3a6a11a3f_Name">
    <vt:lpwstr>sace_0002</vt:lpwstr>
  </property>
  <property fmtid="{D5CDD505-2E9C-101B-9397-08002B2CF9AE}" pid="13" name="MSIP_Label_be62b6ef-db1a-4e15-b1cb-16e3a6a11a3f_SiteId">
    <vt:lpwstr>91443f7c-eefc-48b6-9946-a96937f65fc0</vt:lpwstr>
  </property>
  <property fmtid="{D5CDD505-2E9C-101B-9397-08002B2CF9AE}" pid="14" name="MSIP_Label_be62b6ef-db1a-4e15-b1cb-16e3a6a11a3f_ActionId">
    <vt:lpwstr>c4eed423-bbb1-4210-b669-32eed67827e4</vt:lpwstr>
  </property>
  <property fmtid="{D5CDD505-2E9C-101B-9397-08002B2CF9AE}" pid="15" name="MSIP_Label_be62b6ef-db1a-4e15-b1cb-16e3a6a11a3f_ContentBits">
    <vt:lpwstr>0</vt:lpwstr>
  </property>
</Properties>
</file>