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3D" w:rsidRDefault="00A4303B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2162175" cy="781050"/>
            <wp:effectExtent l="0" t="0" r="9525" b="0"/>
            <wp:docPr id="3" name="Immagine 3" descr="Logo_250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50_6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3D" w:rsidRDefault="0012363D">
      <w:pPr>
        <w:pStyle w:val="Intestazione"/>
        <w:jc w:val="center"/>
      </w:pPr>
    </w:p>
    <w:p w:rsidR="0012363D" w:rsidRDefault="0012363D" w:rsidP="00985E4B">
      <w:pPr>
        <w:pStyle w:val="Intestazione"/>
        <w:rPr>
          <w:rFonts w:ascii="Cambria" w:hAnsi="Cambria"/>
          <w:b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16"/>
        </w:rPr>
        <w:tab/>
      </w:r>
      <w:r w:rsidR="00B45536">
        <w:rPr>
          <w:rFonts w:ascii="Cambria" w:hAnsi="Cambria"/>
          <w:b/>
          <w:sz w:val="28"/>
          <w:szCs w:val="28"/>
        </w:rPr>
        <w:t>Imprese del territorio fiorentino</w:t>
      </w:r>
      <w:r w:rsidR="008F4CE2" w:rsidRPr="0029466D">
        <w:rPr>
          <w:rFonts w:ascii="Cambria" w:hAnsi="Cambria"/>
          <w:b/>
          <w:sz w:val="28"/>
          <w:szCs w:val="28"/>
        </w:rPr>
        <w:t xml:space="preserve"> a </w:t>
      </w:r>
      <w:r w:rsidR="00000F65">
        <w:rPr>
          <w:rFonts w:ascii="Cambria" w:hAnsi="Cambria"/>
          <w:b/>
          <w:sz w:val="28"/>
          <w:szCs w:val="28"/>
        </w:rPr>
        <w:t>inizio</w:t>
      </w:r>
      <w:r w:rsidR="00C30DF3">
        <w:rPr>
          <w:rFonts w:ascii="Cambria" w:hAnsi="Cambria"/>
          <w:b/>
          <w:sz w:val="28"/>
          <w:szCs w:val="28"/>
        </w:rPr>
        <w:t xml:space="preserve"> 20</w:t>
      </w:r>
      <w:r w:rsidR="006E1FD8">
        <w:rPr>
          <w:rFonts w:ascii="Cambria" w:hAnsi="Cambria"/>
          <w:b/>
          <w:sz w:val="28"/>
          <w:szCs w:val="28"/>
        </w:rPr>
        <w:t>20</w:t>
      </w:r>
      <w:r w:rsidR="00B45536">
        <w:rPr>
          <w:rFonts w:ascii="Cambria" w:hAnsi="Cambria"/>
          <w:b/>
          <w:sz w:val="28"/>
          <w:szCs w:val="28"/>
        </w:rPr>
        <w:t xml:space="preserve">: </w:t>
      </w:r>
      <w:r w:rsidR="005D1D5D">
        <w:rPr>
          <w:rFonts w:ascii="Cambria" w:hAnsi="Cambria"/>
          <w:b/>
          <w:sz w:val="28"/>
          <w:szCs w:val="28"/>
        </w:rPr>
        <w:t>dati</w:t>
      </w:r>
      <w:r w:rsidR="00985E4B">
        <w:rPr>
          <w:rFonts w:ascii="Cambria" w:hAnsi="Cambria"/>
          <w:b/>
          <w:sz w:val="28"/>
          <w:szCs w:val="28"/>
        </w:rPr>
        <w:t xml:space="preserve"> sintetici</w:t>
      </w:r>
      <w:r w:rsidRPr="0029466D">
        <w:rPr>
          <w:rFonts w:ascii="Cambria" w:hAnsi="Cambria"/>
          <w:b/>
          <w:sz w:val="28"/>
          <w:szCs w:val="28"/>
        </w:rPr>
        <w:t>.</w:t>
      </w:r>
    </w:p>
    <w:p w:rsidR="00000F65" w:rsidRDefault="00000F65" w:rsidP="00000F65">
      <w:pPr>
        <w:pStyle w:val="Sottotitolo"/>
        <w:jc w:val="center"/>
        <w:rPr>
          <w:b/>
          <w:sz w:val="18"/>
        </w:rPr>
      </w:pPr>
    </w:p>
    <w:p w:rsidR="008D57D3" w:rsidRDefault="00333DD2">
      <w:pPr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ab/>
        <w:t xml:space="preserve">Il 2020 si apre con un calo, a livello nazionale, del numero delle iscrizioni che </w:t>
      </w:r>
      <w:r w:rsidR="008D57D3">
        <w:rPr>
          <w:rFonts w:ascii="Cambria" w:hAnsi="Cambria"/>
          <w:sz w:val="22"/>
          <w:szCs w:val="18"/>
        </w:rPr>
        <w:t xml:space="preserve">calano a 96.629 rispetto alle 114.410 del primo trimestre 2019; in calo anche le cessazioni (126.912 rispetto alle 136.069 del primo trimestre 2019). Il tasso di crescita </w:t>
      </w:r>
      <w:r w:rsidR="002D3038">
        <w:rPr>
          <w:rFonts w:ascii="Cambria" w:hAnsi="Cambria"/>
          <w:sz w:val="22"/>
          <w:szCs w:val="18"/>
        </w:rPr>
        <w:t xml:space="preserve">italiano </w:t>
      </w:r>
      <w:r w:rsidR="008D57D3">
        <w:rPr>
          <w:rFonts w:ascii="Cambria" w:hAnsi="Cambria"/>
          <w:sz w:val="22"/>
          <w:szCs w:val="18"/>
        </w:rPr>
        <w:t xml:space="preserve">scende a -0,5%. </w:t>
      </w:r>
      <w:r w:rsidR="00B955CD">
        <w:rPr>
          <w:rFonts w:ascii="Cambria" w:hAnsi="Cambria"/>
          <w:sz w:val="22"/>
          <w:szCs w:val="18"/>
        </w:rPr>
        <w:t>A livello provinciale registriamo un calo del numero di iscrizioni dell’1,9% che sono state nel primo trimestre 1.822 e un calo simile per le cessazioni</w:t>
      </w:r>
      <w:r w:rsidR="002F1140">
        <w:rPr>
          <w:rFonts w:ascii="Cambria" w:hAnsi="Cambria"/>
          <w:sz w:val="22"/>
          <w:szCs w:val="18"/>
        </w:rPr>
        <w:t xml:space="preserve"> (2.598)</w:t>
      </w:r>
      <w:bookmarkStart w:id="0" w:name="_GoBack"/>
      <w:bookmarkEnd w:id="0"/>
      <w:r w:rsidR="00B955CD">
        <w:rPr>
          <w:rFonts w:ascii="Cambria" w:hAnsi="Cambria"/>
          <w:sz w:val="22"/>
          <w:szCs w:val="18"/>
        </w:rPr>
        <w:t xml:space="preserve">. Il tasso di crescita si attesta al -0,7%, il più basso dal 2009 rispetto al periodo in esame. </w:t>
      </w:r>
    </w:p>
    <w:p w:rsidR="00B26D9A" w:rsidRDefault="00B26D9A">
      <w:pPr>
        <w:jc w:val="both"/>
        <w:rPr>
          <w:rFonts w:ascii="Cambria" w:hAnsi="Cambria"/>
          <w:sz w:val="22"/>
          <w:szCs w:val="18"/>
        </w:rPr>
      </w:pPr>
    </w:p>
    <w:p w:rsidR="00B26D9A" w:rsidRPr="005D7ABC" w:rsidRDefault="00B26D9A" w:rsidP="00B26D9A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I</w:t>
      </w:r>
      <w:r w:rsidRPr="005D7ABC">
        <w:rPr>
          <w:rFonts w:ascii="Cambria" w:hAnsi="Cambria"/>
          <w:sz w:val="22"/>
          <w:szCs w:val="18"/>
        </w:rPr>
        <w:t xml:space="preserve">n termini % il tasso di </w:t>
      </w:r>
      <w:r>
        <w:rPr>
          <w:rFonts w:ascii="Cambria" w:hAnsi="Cambria"/>
          <w:sz w:val="22"/>
          <w:szCs w:val="18"/>
        </w:rPr>
        <w:t>crescita</w:t>
      </w:r>
      <w:r w:rsidRPr="005D7ABC">
        <w:rPr>
          <w:rFonts w:ascii="Cambria" w:hAnsi="Cambria"/>
          <w:sz w:val="22"/>
          <w:szCs w:val="18"/>
        </w:rPr>
        <w:t xml:space="preserve"> </w:t>
      </w:r>
      <w:r>
        <w:rPr>
          <w:rFonts w:ascii="Cambria" w:hAnsi="Cambria"/>
          <w:sz w:val="22"/>
          <w:szCs w:val="18"/>
        </w:rPr>
        <w:t>trimestrale dipendente</w:t>
      </w:r>
      <w:r w:rsidRPr="005D7ABC">
        <w:rPr>
          <w:rFonts w:ascii="Cambria" w:hAnsi="Cambria"/>
          <w:sz w:val="22"/>
          <w:szCs w:val="18"/>
        </w:rPr>
        <w:t xml:space="preserve"> dalla dinamica in entrata e in uscita dal sistema imprenditoriale si attesta a -0,</w:t>
      </w:r>
      <w:r>
        <w:rPr>
          <w:rFonts w:ascii="Cambria" w:hAnsi="Cambria"/>
          <w:sz w:val="22"/>
          <w:szCs w:val="18"/>
        </w:rPr>
        <w:t>70</w:t>
      </w:r>
      <w:r w:rsidRPr="005D7ABC">
        <w:rPr>
          <w:rFonts w:ascii="Cambria" w:hAnsi="Cambria"/>
          <w:sz w:val="22"/>
          <w:szCs w:val="18"/>
        </w:rPr>
        <w:t xml:space="preserve"> per Firenze, -0,</w:t>
      </w:r>
      <w:r>
        <w:rPr>
          <w:rFonts w:ascii="Cambria" w:hAnsi="Cambria"/>
          <w:sz w:val="22"/>
          <w:szCs w:val="18"/>
        </w:rPr>
        <w:t>49</w:t>
      </w:r>
      <w:r w:rsidRPr="005D7ABC">
        <w:rPr>
          <w:rFonts w:ascii="Cambria" w:hAnsi="Cambria"/>
          <w:sz w:val="22"/>
          <w:szCs w:val="18"/>
        </w:rPr>
        <w:t xml:space="preserve"> per la Toscana e -0,</w:t>
      </w:r>
      <w:r>
        <w:rPr>
          <w:rFonts w:ascii="Cambria" w:hAnsi="Cambria"/>
          <w:sz w:val="22"/>
          <w:szCs w:val="18"/>
        </w:rPr>
        <w:t>50</w:t>
      </w:r>
      <w:r w:rsidRPr="005D7ABC">
        <w:rPr>
          <w:rFonts w:ascii="Cambria" w:hAnsi="Cambria"/>
          <w:sz w:val="22"/>
          <w:szCs w:val="18"/>
        </w:rPr>
        <w:t xml:space="preserve"> per l’Italia</w:t>
      </w:r>
      <w:r>
        <w:rPr>
          <w:rFonts w:ascii="Cambria" w:hAnsi="Cambria"/>
          <w:sz w:val="22"/>
          <w:szCs w:val="18"/>
        </w:rPr>
        <w:t>, valori simili a quelli dello stesso periodo dello scorso anno. Il tasso di crescita trimestrale dell’artigianato fiorentino si conferma al -0,8%.</w:t>
      </w:r>
    </w:p>
    <w:p w:rsidR="00B26D9A" w:rsidRDefault="00B26D9A" w:rsidP="00B26D9A">
      <w:pPr>
        <w:jc w:val="both"/>
        <w:rPr>
          <w:rFonts w:ascii="Cambria" w:hAnsi="Cambria"/>
          <w:sz w:val="18"/>
          <w:szCs w:val="18"/>
        </w:rPr>
      </w:pPr>
    </w:p>
    <w:p w:rsidR="00D648FD" w:rsidRPr="002D3038" w:rsidRDefault="00D648FD">
      <w:pPr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sz w:val="22"/>
          <w:szCs w:val="18"/>
        </w:rPr>
        <w:tab/>
      </w:r>
      <w:r w:rsidRPr="002D3038">
        <w:rPr>
          <w:rFonts w:ascii="Cambria" w:hAnsi="Cambria"/>
          <w:i/>
          <w:sz w:val="20"/>
          <w:szCs w:val="18"/>
        </w:rPr>
        <w:t xml:space="preserve">Probabilmente da questi dati non si coglie ancora pienamente l’impatto che la crisi derivata dall’emergenza epidemiologica da Covid19 potrà avere sulle imprese della città metropolitana fiorentina, </w:t>
      </w:r>
      <w:r w:rsidR="002D3038" w:rsidRPr="002D3038">
        <w:rPr>
          <w:rFonts w:ascii="Cambria" w:hAnsi="Cambria"/>
          <w:i/>
          <w:sz w:val="20"/>
          <w:szCs w:val="18"/>
        </w:rPr>
        <w:t>in quanto il sistema imprenditoriale si muove in maniera più rigida rispetto ad altri indicatori di natura macroeconomica</w:t>
      </w:r>
      <w:r w:rsidRPr="002D3038">
        <w:rPr>
          <w:rFonts w:ascii="Cambria" w:hAnsi="Cambria"/>
          <w:i/>
          <w:sz w:val="20"/>
          <w:szCs w:val="18"/>
        </w:rPr>
        <w:t xml:space="preserve"> . </w:t>
      </w:r>
    </w:p>
    <w:p w:rsidR="00F01EAE" w:rsidRDefault="00F01EAE" w:rsidP="00F01EAE">
      <w:pPr>
        <w:ind w:firstLine="708"/>
        <w:jc w:val="both"/>
        <w:rPr>
          <w:rFonts w:ascii="Cambria" w:hAnsi="Cambria"/>
          <w:sz w:val="22"/>
          <w:szCs w:val="18"/>
        </w:rPr>
      </w:pPr>
    </w:p>
    <w:p w:rsidR="009100B9" w:rsidRDefault="00650FA5" w:rsidP="00F01EAE">
      <w:pPr>
        <w:ind w:firstLine="708"/>
        <w:jc w:val="both"/>
        <w:rPr>
          <w:rFonts w:ascii="Cambria" w:hAnsi="Cambria"/>
          <w:sz w:val="22"/>
          <w:szCs w:val="18"/>
        </w:rPr>
      </w:pPr>
      <w:r w:rsidRPr="005D7ABC">
        <w:rPr>
          <w:rFonts w:ascii="Cambria" w:hAnsi="Cambria"/>
          <w:sz w:val="22"/>
          <w:szCs w:val="18"/>
        </w:rPr>
        <w:t>Alla fine del primo trimestre 20</w:t>
      </w:r>
      <w:r w:rsidR="001F57D5">
        <w:rPr>
          <w:rFonts w:ascii="Cambria" w:hAnsi="Cambria"/>
          <w:sz w:val="22"/>
          <w:szCs w:val="18"/>
        </w:rPr>
        <w:t>20</w:t>
      </w:r>
      <w:r w:rsidRPr="005D7ABC">
        <w:rPr>
          <w:rFonts w:ascii="Cambria" w:hAnsi="Cambria"/>
          <w:sz w:val="22"/>
          <w:szCs w:val="18"/>
        </w:rPr>
        <w:t xml:space="preserve"> le imprese con sede legale </w:t>
      </w:r>
      <w:r w:rsidR="00F74601" w:rsidRPr="005D7ABC">
        <w:rPr>
          <w:rFonts w:ascii="Cambria" w:hAnsi="Cambria"/>
          <w:sz w:val="22"/>
          <w:szCs w:val="18"/>
        </w:rPr>
        <w:t>nella città metropolitana</w:t>
      </w:r>
      <w:r w:rsidRPr="005D7ABC">
        <w:rPr>
          <w:rFonts w:ascii="Cambria" w:hAnsi="Cambria"/>
          <w:sz w:val="22"/>
          <w:szCs w:val="18"/>
        </w:rPr>
        <w:t xml:space="preserve"> di Firenze </w:t>
      </w:r>
      <w:r w:rsidR="00024EAA" w:rsidRPr="005D7ABC">
        <w:rPr>
          <w:rFonts w:ascii="Cambria" w:hAnsi="Cambria"/>
          <w:sz w:val="22"/>
          <w:szCs w:val="18"/>
        </w:rPr>
        <w:t>sono</w:t>
      </w:r>
      <w:r w:rsidRPr="005D7ABC">
        <w:rPr>
          <w:rFonts w:ascii="Cambria" w:hAnsi="Cambria"/>
          <w:sz w:val="22"/>
          <w:szCs w:val="18"/>
        </w:rPr>
        <w:t xml:space="preserve"> 10</w:t>
      </w:r>
      <w:r w:rsidR="001F57D5">
        <w:rPr>
          <w:rFonts w:ascii="Cambria" w:hAnsi="Cambria"/>
          <w:sz w:val="22"/>
          <w:szCs w:val="18"/>
        </w:rPr>
        <w:t>7</w:t>
      </w:r>
      <w:r w:rsidRPr="005D7ABC">
        <w:rPr>
          <w:rFonts w:ascii="Cambria" w:hAnsi="Cambria"/>
          <w:sz w:val="22"/>
          <w:szCs w:val="18"/>
        </w:rPr>
        <w:t>.</w:t>
      </w:r>
      <w:r w:rsidR="001F57D5">
        <w:rPr>
          <w:rFonts w:ascii="Cambria" w:hAnsi="Cambria"/>
          <w:sz w:val="22"/>
          <w:szCs w:val="18"/>
        </w:rPr>
        <w:t>982</w:t>
      </w:r>
      <w:r w:rsidR="00125354" w:rsidRPr="005D7ABC">
        <w:rPr>
          <w:rFonts w:ascii="Cambria" w:hAnsi="Cambria"/>
          <w:sz w:val="22"/>
          <w:szCs w:val="18"/>
        </w:rPr>
        <w:t>,</w:t>
      </w:r>
      <w:r w:rsidR="001F57D5">
        <w:rPr>
          <w:rFonts w:ascii="Cambria" w:hAnsi="Cambria"/>
          <w:sz w:val="22"/>
          <w:szCs w:val="18"/>
        </w:rPr>
        <w:t xml:space="preserve"> </w:t>
      </w:r>
      <w:r w:rsidR="00C32437">
        <w:rPr>
          <w:rFonts w:ascii="Cambria" w:hAnsi="Cambria"/>
          <w:sz w:val="22"/>
          <w:szCs w:val="18"/>
        </w:rPr>
        <w:t xml:space="preserve">in calo di </w:t>
      </w:r>
      <w:r w:rsidR="00B96885">
        <w:rPr>
          <w:rFonts w:ascii="Cambria" w:hAnsi="Cambria"/>
          <w:sz w:val="22"/>
          <w:szCs w:val="18"/>
        </w:rPr>
        <w:t xml:space="preserve">1.616 unità rispetto al primo trimestre 2019; questo calo risente sia dell’andamento di natimortalità </w:t>
      </w:r>
      <w:r w:rsidR="00B955CD">
        <w:rPr>
          <w:rFonts w:ascii="Cambria" w:hAnsi="Cambria"/>
          <w:sz w:val="22"/>
          <w:szCs w:val="18"/>
        </w:rPr>
        <w:t>che</w:t>
      </w:r>
      <w:r w:rsidR="00B96885">
        <w:rPr>
          <w:rFonts w:ascii="Cambria" w:hAnsi="Cambria"/>
          <w:sz w:val="22"/>
          <w:szCs w:val="18"/>
        </w:rPr>
        <w:t xml:space="preserve"> di un sostanziale numero d</w:t>
      </w:r>
      <w:r w:rsidR="0080434A">
        <w:rPr>
          <w:rFonts w:ascii="Cambria" w:hAnsi="Cambria"/>
          <w:sz w:val="22"/>
          <w:szCs w:val="18"/>
        </w:rPr>
        <w:t>i cessazioni d’ufficio (1.</w:t>
      </w:r>
      <w:r w:rsidR="002D3038">
        <w:rPr>
          <w:rFonts w:ascii="Cambria" w:hAnsi="Cambria"/>
          <w:sz w:val="22"/>
          <w:szCs w:val="18"/>
        </w:rPr>
        <w:t>712</w:t>
      </w:r>
      <w:r w:rsidR="00B955CD">
        <w:rPr>
          <w:rFonts w:ascii="Cambria" w:hAnsi="Cambria"/>
          <w:sz w:val="22"/>
          <w:szCs w:val="18"/>
        </w:rPr>
        <w:t xml:space="preserve">, </w:t>
      </w:r>
      <w:r w:rsidR="002D3038">
        <w:rPr>
          <w:rFonts w:ascii="Cambria" w:hAnsi="Cambria"/>
          <w:sz w:val="22"/>
          <w:szCs w:val="18"/>
        </w:rPr>
        <w:t>per il 95% società di capitale</w:t>
      </w:r>
      <w:r w:rsidR="0080434A">
        <w:rPr>
          <w:rFonts w:ascii="Cambria" w:hAnsi="Cambria"/>
          <w:sz w:val="22"/>
          <w:szCs w:val="18"/>
        </w:rPr>
        <w:t>). Le sedi legali attive si ridimensionano di 506 unità, attestandosi a 91.716. Più stabile il numero d</w:t>
      </w:r>
      <w:r w:rsidR="002D3038">
        <w:rPr>
          <w:rFonts w:ascii="Cambria" w:hAnsi="Cambria"/>
          <w:sz w:val="22"/>
          <w:szCs w:val="18"/>
        </w:rPr>
        <w:t>elle</w:t>
      </w:r>
      <w:r w:rsidR="0080434A">
        <w:rPr>
          <w:rFonts w:ascii="Cambria" w:hAnsi="Cambria"/>
          <w:sz w:val="22"/>
          <w:szCs w:val="18"/>
        </w:rPr>
        <w:t xml:space="preserve"> localizzazioni operative (sedi e unità locali) che chiudono il trimestre a 118.585, numero sostanzialmente s</w:t>
      </w:r>
      <w:r w:rsidR="009100B9">
        <w:rPr>
          <w:rFonts w:ascii="Cambria" w:hAnsi="Cambria"/>
          <w:sz w:val="22"/>
          <w:szCs w:val="18"/>
        </w:rPr>
        <w:t>imile a quello dell’anno scorso</w:t>
      </w:r>
      <w:r w:rsidR="008E4E2C">
        <w:rPr>
          <w:rFonts w:ascii="Cambria" w:hAnsi="Cambria"/>
          <w:sz w:val="22"/>
          <w:szCs w:val="18"/>
        </w:rPr>
        <w:t>.</w:t>
      </w:r>
    </w:p>
    <w:p w:rsidR="002D3038" w:rsidRDefault="002D3038" w:rsidP="00F01EAE">
      <w:pPr>
        <w:ind w:firstLine="708"/>
        <w:jc w:val="both"/>
        <w:rPr>
          <w:rFonts w:ascii="Cambria" w:hAnsi="Cambria"/>
          <w:sz w:val="22"/>
          <w:szCs w:val="18"/>
        </w:rPr>
      </w:pPr>
    </w:p>
    <w:p w:rsidR="00333DD2" w:rsidRDefault="009100B9" w:rsidP="00F01EAE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 xml:space="preserve">Su </w:t>
      </w:r>
      <w:r w:rsidR="008E4E2C">
        <w:rPr>
          <w:rFonts w:ascii="Cambria" w:hAnsi="Cambria"/>
          <w:sz w:val="22"/>
          <w:szCs w:val="18"/>
        </w:rPr>
        <w:t xml:space="preserve">base trimestrale, le sedi registrate calano di </w:t>
      </w:r>
      <w:r>
        <w:rPr>
          <w:rFonts w:ascii="Cambria" w:hAnsi="Cambria"/>
          <w:sz w:val="22"/>
          <w:szCs w:val="18"/>
        </w:rPr>
        <w:t>2.118</w:t>
      </w:r>
      <w:r w:rsidR="008E4E2C">
        <w:rPr>
          <w:rFonts w:ascii="Cambria" w:hAnsi="Cambria"/>
          <w:sz w:val="22"/>
          <w:szCs w:val="18"/>
        </w:rPr>
        <w:t xml:space="preserve"> unità</w:t>
      </w:r>
      <w:r>
        <w:rPr>
          <w:rFonts w:ascii="Cambria" w:hAnsi="Cambria"/>
          <w:sz w:val="22"/>
          <w:szCs w:val="18"/>
        </w:rPr>
        <w:t xml:space="preserve"> (-1,9%)</w:t>
      </w:r>
      <w:r w:rsidR="008E4E2C">
        <w:rPr>
          <w:rFonts w:ascii="Cambria" w:hAnsi="Cambria"/>
          <w:sz w:val="22"/>
          <w:szCs w:val="18"/>
        </w:rPr>
        <w:t xml:space="preserve">, </w:t>
      </w:r>
      <w:r>
        <w:rPr>
          <w:rFonts w:ascii="Cambria" w:hAnsi="Cambria"/>
          <w:sz w:val="22"/>
          <w:szCs w:val="18"/>
        </w:rPr>
        <w:t xml:space="preserve">le attive di 756 unità            (-0,8%) e le localizzazioni di 855 (-0,7%).  </w:t>
      </w:r>
    </w:p>
    <w:p w:rsidR="008C565D" w:rsidRDefault="008C565D">
      <w:pPr>
        <w:jc w:val="both"/>
        <w:rPr>
          <w:rFonts w:ascii="Cambria" w:hAnsi="Cambria"/>
          <w:sz w:val="22"/>
          <w:szCs w:val="18"/>
        </w:rPr>
      </w:pPr>
    </w:p>
    <w:p w:rsidR="008C565D" w:rsidRDefault="008C565D" w:rsidP="00F01EAE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Rispetto al comparto artigiano, che coinvolge il 3</w:t>
      </w:r>
      <w:r w:rsidR="00B26D9A">
        <w:rPr>
          <w:rFonts w:ascii="Cambria" w:hAnsi="Cambria"/>
          <w:sz w:val="22"/>
          <w:szCs w:val="18"/>
        </w:rPr>
        <w:t>0,8</w:t>
      </w:r>
      <w:r>
        <w:rPr>
          <w:rFonts w:ascii="Cambria" w:hAnsi="Cambria"/>
          <w:sz w:val="22"/>
          <w:szCs w:val="18"/>
        </w:rPr>
        <w:t>% delle imprese attive fiorentine, il 2</w:t>
      </w:r>
      <w:r w:rsidR="00B955CD">
        <w:rPr>
          <w:rFonts w:ascii="Cambria" w:hAnsi="Cambria"/>
          <w:sz w:val="22"/>
          <w:szCs w:val="18"/>
        </w:rPr>
        <w:t>020</w:t>
      </w:r>
      <w:r>
        <w:rPr>
          <w:rFonts w:ascii="Cambria" w:hAnsi="Cambria"/>
          <w:sz w:val="22"/>
          <w:szCs w:val="18"/>
        </w:rPr>
        <w:t xml:space="preserve"> si apre con un calo su base annua delle sedi pari a 30</w:t>
      </w:r>
      <w:r w:rsidR="00300DF0">
        <w:rPr>
          <w:rFonts w:ascii="Cambria" w:hAnsi="Cambria"/>
          <w:sz w:val="22"/>
          <w:szCs w:val="18"/>
        </w:rPr>
        <w:t>3</w:t>
      </w:r>
      <w:r>
        <w:rPr>
          <w:rFonts w:ascii="Cambria" w:hAnsi="Cambria"/>
          <w:sz w:val="22"/>
          <w:szCs w:val="18"/>
        </w:rPr>
        <w:t xml:space="preserve"> unità (da 2</w:t>
      </w:r>
      <w:r w:rsidR="00B955CD">
        <w:rPr>
          <w:rFonts w:ascii="Cambria" w:hAnsi="Cambria"/>
          <w:sz w:val="22"/>
          <w:szCs w:val="18"/>
        </w:rPr>
        <w:t>8</w:t>
      </w:r>
      <w:r>
        <w:rPr>
          <w:rFonts w:ascii="Cambria" w:hAnsi="Cambria"/>
          <w:sz w:val="22"/>
          <w:szCs w:val="18"/>
        </w:rPr>
        <w:t>.</w:t>
      </w:r>
      <w:r w:rsidR="00B955CD">
        <w:rPr>
          <w:rFonts w:ascii="Cambria" w:hAnsi="Cambria"/>
          <w:sz w:val="22"/>
          <w:szCs w:val="18"/>
        </w:rPr>
        <w:t>794</w:t>
      </w:r>
      <w:r w:rsidR="00300DF0">
        <w:rPr>
          <w:rFonts w:ascii="Cambria" w:hAnsi="Cambria"/>
          <w:sz w:val="22"/>
          <w:szCs w:val="18"/>
        </w:rPr>
        <w:t xml:space="preserve"> a 28.491</w:t>
      </w:r>
      <w:r>
        <w:rPr>
          <w:rFonts w:ascii="Cambria" w:hAnsi="Cambria"/>
          <w:sz w:val="22"/>
          <w:szCs w:val="18"/>
        </w:rPr>
        <w:t>, -1,1%), cui si accompagna anche un ridimensionamento su base trimestrale (-0,</w:t>
      </w:r>
      <w:r w:rsidR="00300DF0">
        <w:rPr>
          <w:rFonts w:ascii="Cambria" w:hAnsi="Cambria"/>
          <w:sz w:val="22"/>
          <w:szCs w:val="18"/>
        </w:rPr>
        <w:t>8</w:t>
      </w:r>
      <w:r>
        <w:rPr>
          <w:rFonts w:ascii="Cambria" w:hAnsi="Cambria"/>
          <w:sz w:val="22"/>
          <w:szCs w:val="18"/>
        </w:rPr>
        <w:t xml:space="preserve">%). Il turn-over tra entrate e uscite ha coinvolto </w:t>
      </w:r>
      <w:r w:rsidR="00300DF0">
        <w:rPr>
          <w:rFonts w:ascii="Cambria" w:hAnsi="Cambria"/>
          <w:sz w:val="22"/>
          <w:szCs w:val="18"/>
        </w:rPr>
        <w:t>1.405</w:t>
      </w:r>
      <w:r w:rsidR="00CD2D5F">
        <w:rPr>
          <w:rFonts w:ascii="Cambria" w:hAnsi="Cambria"/>
          <w:sz w:val="22"/>
          <w:szCs w:val="18"/>
        </w:rPr>
        <w:t xml:space="preserve"> imprese, con u</w:t>
      </w:r>
      <w:r w:rsidR="00300DF0">
        <w:rPr>
          <w:rFonts w:ascii="Cambria" w:hAnsi="Cambria"/>
          <w:sz w:val="22"/>
          <w:szCs w:val="18"/>
        </w:rPr>
        <w:t>n saldo negativo di 231 unità (587</w:t>
      </w:r>
      <w:r w:rsidR="00CD2D5F">
        <w:rPr>
          <w:rFonts w:ascii="Cambria" w:hAnsi="Cambria"/>
          <w:sz w:val="22"/>
          <w:szCs w:val="18"/>
        </w:rPr>
        <w:t xml:space="preserve"> iscrizioni a fronte di 8</w:t>
      </w:r>
      <w:r w:rsidR="00300DF0">
        <w:rPr>
          <w:rFonts w:ascii="Cambria" w:hAnsi="Cambria"/>
          <w:sz w:val="22"/>
          <w:szCs w:val="18"/>
        </w:rPr>
        <w:t>18</w:t>
      </w:r>
      <w:r w:rsidR="00CD2D5F">
        <w:rPr>
          <w:rFonts w:ascii="Cambria" w:hAnsi="Cambria"/>
          <w:sz w:val="22"/>
          <w:szCs w:val="18"/>
        </w:rPr>
        <w:t xml:space="preserve"> cessazioni).</w:t>
      </w:r>
      <w:r w:rsidR="00F50267">
        <w:rPr>
          <w:rFonts w:ascii="Cambria" w:hAnsi="Cambria"/>
          <w:sz w:val="22"/>
          <w:szCs w:val="18"/>
        </w:rPr>
        <w:t xml:space="preserve"> </w:t>
      </w:r>
    </w:p>
    <w:p w:rsidR="008E4E2C" w:rsidRDefault="008E4E2C">
      <w:pPr>
        <w:jc w:val="both"/>
        <w:rPr>
          <w:rFonts w:ascii="Cambria" w:hAnsi="Cambria"/>
          <w:sz w:val="22"/>
          <w:szCs w:val="18"/>
        </w:rPr>
      </w:pPr>
    </w:p>
    <w:p w:rsidR="00624C27" w:rsidRDefault="00624C27">
      <w:pPr>
        <w:jc w:val="both"/>
        <w:rPr>
          <w:rFonts w:ascii="Cambria" w:hAnsi="Cambria"/>
          <w:sz w:val="18"/>
          <w:szCs w:val="18"/>
        </w:rPr>
      </w:pPr>
    </w:p>
    <w:p w:rsidR="007600D2" w:rsidRPr="007600D2" w:rsidRDefault="007600D2" w:rsidP="007600D2">
      <w:pPr>
        <w:jc w:val="both"/>
        <w:rPr>
          <w:rFonts w:ascii="Cambria" w:hAnsi="Cambria"/>
          <w:b/>
          <w:sz w:val="18"/>
          <w:szCs w:val="18"/>
        </w:rPr>
      </w:pPr>
      <w:r w:rsidRPr="007600D2">
        <w:rPr>
          <w:rFonts w:ascii="Cambria" w:hAnsi="Cambria"/>
          <w:b/>
          <w:sz w:val="16"/>
          <w:szCs w:val="18"/>
        </w:rPr>
        <w:t>Imprese registrate: dati al primo trimestre anni 200</w:t>
      </w:r>
      <w:r w:rsidR="00CD2D5F">
        <w:rPr>
          <w:rFonts w:ascii="Cambria" w:hAnsi="Cambria"/>
          <w:b/>
          <w:sz w:val="16"/>
          <w:szCs w:val="18"/>
        </w:rPr>
        <w:t>9</w:t>
      </w:r>
      <w:r w:rsidRPr="007600D2">
        <w:rPr>
          <w:rFonts w:ascii="Cambria" w:hAnsi="Cambria"/>
          <w:b/>
          <w:sz w:val="16"/>
          <w:szCs w:val="18"/>
        </w:rPr>
        <w:t>-20</w:t>
      </w:r>
      <w:r w:rsidR="00B85D75">
        <w:rPr>
          <w:rFonts w:ascii="Cambria" w:hAnsi="Cambria"/>
          <w:b/>
          <w:sz w:val="16"/>
          <w:szCs w:val="18"/>
        </w:rPr>
        <w:t>20</w:t>
      </w:r>
      <w:r w:rsidRPr="007600D2">
        <w:rPr>
          <w:rFonts w:ascii="Cambria" w:hAnsi="Cambria"/>
          <w:b/>
          <w:sz w:val="16"/>
          <w:szCs w:val="18"/>
        </w:rPr>
        <w:t xml:space="preserve">         </w:t>
      </w:r>
      <w:r>
        <w:rPr>
          <w:rFonts w:ascii="Cambria" w:hAnsi="Cambria"/>
          <w:b/>
          <w:sz w:val="16"/>
          <w:szCs w:val="18"/>
        </w:rPr>
        <w:t xml:space="preserve">  </w:t>
      </w:r>
      <w:r w:rsidR="00EC6871">
        <w:rPr>
          <w:rFonts w:ascii="Cambria" w:hAnsi="Cambria"/>
          <w:b/>
          <w:sz w:val="16"/>
          <w:szCs w:val="18"/>
        </w:rPr>
        <w:t xml:space="preserve">  </w:t>
      </w:r>
      <w:r w:rsidR="00F50267">
        <w:rPr>
          <w:rFonts w:ascii="Cambria" w:hAnsi="Cambria"/>
          <w:b/>
          <w:sz w:val="16"/>
          <w:szCs w:val="18"/>
        </w:rPr>
        <w:t xml:space="preserve"> </w:t>
      </w:r>
      <w:r w:rsidRPr="007600D2">
        <w:rPr>
          <w:rFonts w:ascii="Cambria" w:hAnsi="Cambria"/>
          <w:b/>
          <w:sz w:val="16"/>
          <w:szCs w:val="18"/>
        </w:rPr>
        <w:t xml:space="preserve">Imprese </w:t>
      </w:r>
      <w:r w:rsidR="00EC6871">
        <w:rPr>
          <w:rFonts w:ascii="Cambria" w:hAnsi="Cambria"/>
          <w:b/>
          <w:sz w:val="16"/>
          <w:szCs w:val="18"/>
        </w:rPr>
        <w:t>artigiane</w:t>
      </w:r>
      <w:r w:rsidRPr="007600D2">
        <w:rPr>
          <w:rFonts w:ascii="Cambria" w:hAnsi="Cambria"/>
          <w:b/>
          <w:sz w:val="16"/>
          <w:szCs w:val="18"/>
        </w:rPr>
        <w:t>: dati al primo trimestre anni 200</w:t>
      </w:r>
      <w:r w:rsidR="00CD2D5F">
        <w:rPr>
          <w:rFonts w:ascii="Cambria" w:hAnsi="Cambria"/>
          <w:b/>
          <w:sz w:val="16"/>
          <w:szCs w:val="18"/>
        </w:rPr>
        <w:t>9</w:t>
      </w:r>
      <w:r w:rsidRPr="007600D2">
        <w:rPr>
          <w:rFonts w:ascii="Cambria" w:hAnsi="Cambria"/>
          <w:b/>
          <w:sz w:val="16"/>
          <w:szCs w:val="18"/>
        </w:rPr>
        <w:t>-20</w:t>
      </w:r>
      <w:r w:rsidR="00B85D75">
        <w:rPr>
          <w:rFonts w:ascii="Cambria" w:hAnsi="Cambria"/>
          <w:b/>
          <w:sz w:val="16"/>
          <w:szCs w:val="18"/>
        </w:rPr>
        <w:t>20</w:t>
      </w:r>
    </w:p>
    <w:p w:rsidR="00624C27" w:rsidRDefault="00B85D75">
      <w:pPr>
        <w:jc w:val="both"/>
        <w:rPr>
          <w:rFonts w:ascii="Cambria" w:hAnsi="Cambria"/>
          <w:sz w:val="18"/>
          <w:szCs w:val="18"/>
        </w:rPr>
      </w:pPr>
      <w:r w:rsidRPr="00B85D75">
        <w:rPr>
          <w:noProof/>
        </w:rPr>
        <w:drawing>
          <wp:inline distT="0" distB="0" distL="0" distR="0" wp14:anchorId="779941BB" wp14:editId="4D7BA2FC">
            <wp:extent cx="6120130" cy="15443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B9" w:rsidRDefault="00F260B9" w:rsidP="00F260B9">
      <w:pPr>
        <w:jc w:val="both"/>
        <w:rPr>
          <w:rFonts w:ascii="Cambria" w:hAnsi="Cambria"/>
          <w:sz w:val="18"/>
          <w:szCs w:val="18"/>
        </w:rPr>
      </w:pPr>
    </w:p>
    <w:p w:rsidR="00F50267" w:rsidRDefault="00B26D9A" w:rsidP="00F01EAE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Rispetto alle imprese attive (84,9% delle sedi registrate)</w:t>
      </w:r>
      <w:r w:rsidR="00536B7C">
        <w:rPr>
          <w:rFonts w:ascii="Cambria" w:hAnsi="Cambria"/>
          <w:sz w:val="22"/>
          <w:szCs w:val="18"/>
        </w:rPr>
        <w:t xml:space="preserve"> le società di capitale confermano il proprio trend di crescita, passando dalle 22.945 dello scorso anno alle 23.434 attuali. Calano le società di persone (-2,9%), le imprese individuali (-1%) e le altre forme (-1,7%).</w:t>
      </w:r>
    </w:p>
    <w:p w:rsidR="00B26D9A" w:rsidRDefault="00B26D9A" w:rsidP="00F01EAE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Nella tabella successiva si forniscono i principali dati delle imprese fiorentine, con la consistenza numerica del totale delle imprese registrate ripartite per classe di natura giuridica.</w:t>
      </w:r>
    </w:p>
    <w:p w:rsidR="00536B7C" w:rsidRPr="005D7ABC" w:rsidRDefault="00536B7C" w:rsidP="00F01EAE">
      <w:pPr>
        <w:ind w:firstLine="708"/>
        <w:jc w:val="both"/>
        <w:rPr>
          <w:rFonts w:ascii="Cambria" w:hAnsi="Cambria"/>
          <w:sz w:val="10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B26D9A" w:rsidRDefault="00B26D9A" w:rsidP="00F260B9">
      <w:pPr>
        <w:jc w:val="both"/>
        <w:rPr>
          <w:rFonts w:ascii="Cambria" w:hAnsi="Cambria"/>
          <w:b/>
          <w:sz w:val="18"/>
          <w:szCs w:val="18"/>
        </w:rPr>
      </w:pPr>
    </w:p>
    <w:p w:rsidR="00EC14ED" w:rsidRDefault="0062726E" w:rsidP="00F260B9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Quadro di sintesi dell’imprenditoria fiorentina</w:t>
      </w:r>
      <w:r w:rsidRPr="0062726E">
        <w:rPr>
          <w:rFonts w:ascii="Cambria" w:hAnsi="Cambria"/>
          <w:b/>
          <w:sz w:val="18"/>
          <w:szCs w:val="18"/>
        </w:rPr>
        <w:t xml:space="preserve">. </w:t>
      </w:r>
    </w:p>
    <w:p w:rsidR="00796B22" w:rsidRDefault="00536B7C">
      <w:pPr>
        <w:jc w:val="both"/>
        <w:rPr>
          <w:rFonts w:ascii="Cambria" w:hAnsi="Cambria"/>
          <w:sz w:val="18"/>
          <w:szCs w:val="18"/>
        </w:rPr>
      </w:pPr>
      <w:r w:rsidRPr="00536B7C">
        <w:rPr>
          <w:noProof/>
        </w:rPr>
        <w:drawing>
          <wp:inline distT="0" distB="0" distL="0" distR="0" wp14:anchorId="1926A2F4" wp14:editId="7A461A71">
            <wp:extent cx="6120130" cy="126203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B9" w:rsidRDefault="00F260B9">
      <w:pPr>
        <w:jc w:val="both"/>
        <w:rPr>
          <w:rFonts w:ascii="Cambria" w:hAnsi="Cambria"/>
          <w:sz w:val="18"/>
          <w:szCs w:val="18"/>
        </w:rPr>
      </w:pPr>
    </w:p>
    <w:p w:rsidR="00B02CA0" w:rsidRDefault="00B02CA0" w:rsidP="00B26D9A">
      <w:pPr>
        <w:ind w:firstLine="708"/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sz w:val="22"/>
          <w:szCs w:val="18"/>
        </w:rPr>
        <w:t>A una rapida lettura su come si siano mosse le imprese attive rispetto al</w:t>
      </w:r>
      <w:r w:rsidR="00B26D9A">
        <w:rPr>
          <w:rFonts w:ascii="Cambria" w:hAnsi="Cambria"/>
          <w:sz w:val="22"/>
          <w:szCs w:val="18"/>
        </w:rPr>
        <w:t xml:space="preserve"> settore principale di attività  -</w:t>
      </w:r>
      <w:r>
        <w:rPr>
          <w:rFonts w:ascii="Cambria" w:hAnsi="Cambria"/>
          <w:sz w:val="22"/>
          <w:szCs w:val="18"/>
        </w:rPr>
        <w:t xml:space="preserve"> </w:t>
      </w:r>
      <w:r w:rsidR="00B26D9A">
        <w:rPr>
          <w:rFonts w:ascii="Cambria" w:hAnsi="Cambria"/>
          <w:sz w:val="22"/>
          <w:szCs w:val="18"/>
        </w:rPr>
        <w:t xml:space="preserve"> </w:t>
      </w:r>
      <w:r w:rsidR="000F5D84">
        <w:rPr>
          <w:rFonts w:ascii="Cambria" w:hAnsi="Cambria"/>
          <w:sz w:val="22"/>
          <w:szCs w:val="18"/>
        </w:rPr>
        <w:t xml:space="preserve">ponendo a confronto </w:t>
      </w:r>
      <w:r w:rsidR="00A4303B">
        <w:rPr>
          <w:rFonts w:ascii="Cambria" w:hAnsi="Cambria"/>
          <w:sz w:val="22"/>
          <w:szCs w:val="18"/>
        </w:rPr>
        <w:t xml:space="preserve">i due stock a fine Marzo 2019 </w:t>
      </w:r>
      <w:r w:rsidR="00B26D9A">
        <w:rPr>
          <w:rFonts w:ascii="Cambria" w:hAnsi="Cambria"/>
          <w:sz w:val="22"/>
          <w:szCs w:val="18"/>
        </w:rPr>
        <w:t>e</w:t>
      </w:r>
      <w:r w:rsidR="00A4303B">
        <w:rPr>
          <w:rFonts w:ascii="Cambria" w:hAnsi="Cambria"/>
          <w:sz w:val="22"/>
          <w:szCs w:val="18"/>
        </w:rPr>
        <w:t xml:space="preserve"> f</w:t>
      </w:r>
      <w:r w:rsidR="00B26D9A">
        <w:rPr>
          <w:rFonts w:ascii="Cambria" w:hAnsi="Cambria"/>
          <w:sz w:val="22"/>
          <w:szCs w:val="18"/>
        </w:rPr>
        <w:t>i</w:t>
      </w:r>
      <w:r w:rsidR="00A4303B">
        <w:rPr>
          <w:rFonts w:ascii="Cambria" w:hAnsi="Cambria"/>
          <w:sz w:val="22"/>
          <w:szCs w:val="18"/>
        </w:rPr>
        <w:t>ne Marzo 2020</w:t>
      </w:r>
      <w:r w:rsidR="00B26D9A">
        <w:rPr>
          <w:rFonts w:ascii="Cambria" w:hAnsi="Cambria"/>
          <w:sz w:val="22"/>
          <w:szCs w:val="18"/>
        </w:rPr>
        <w:t xml:space="preserve">  - </w:t>
      </w:r>
      <w:r w:rsidR="00A4303B">
        <w:rPr>
          <w:rFonts w:ascii="Cambria" w:hAnsi="Cambria"/>
          <w:sz w:val="22"/>
          <w:szCs w:val="18"/>
        </w:rPr>
        <w:t xml:space="preserve"> </w:t>
      </w:r>
      <w:r>
        <w:rPr>
          <w:rFonts w:ascii="Cambria" w:hAnsi="Cambria"/>
          <w:sz w:val="22"/>
          <w:szCs w:val="18"/>
        </w:rPr>
        <w:t xml:space="preserve">si evidenzia un calo delle imprese </w:t>
      </w:r>
      <w:r w:rsidR="00A4303B">
        <w:rPr>
          <w:rFonts w:ascii="Cambria" w:hAnsi="Cambria"/>
          <w:sz w:val="22"/>
          <w:szCs w:val="18"/>
        </w:rPr>
        <w:t>del commercio</w:t>
      </w:r>
      <w:r>
        <w:rPr>
          <w:rFonts w:ascii="Cambria" w:hAnsi="Cambria"/>
          <w:sz w:val="22"/>
          <w:szCs w:val="18"/>
        </w:rPr>
        <w:t xml:space="preserve"> (-</w:t>
      </w:r>
      <w:r w:rsidR="00A4303B">
        <w:rPr>
          <w:rFonts w:ascii="Cambria" w:hAnsi="Cambria"/>
          <w:sz w:val="22"/>
          <w:szCs w:val="18"/>
        </w:rPr>
        <w:t>2</w:t>
      </w:r>
      <w:r>
        <w:rPr>
          <w:rFonts w:ascii="Cambria" w:hAnsi="Cambria"/>
          <w:sz w:val="22"/>
          <w:szCs w:val="18"/>
        </w:rPr>
        <w:t>,</w:t>
      </w:r>
      <w:r w:rsidR="00A4303B">
        <w:rPr>
          <w:rFonts w:ascii="Cambria" w:hAnsi="Cambria"/>
          <w:sz w:val="22"/>
          <w:szCs w:val="18"/>
        </w:rPr>
        <w:t>4</w:t>
      </w:r>
      <w:r>
        <w:rPr>
          <w:rFonts w:ascii="Cambria" w:hAnsi="Cambria"/>
          <w:sz w:val="22"/>
          <w:szCs w:val="18"/>
        </w:rPr>
        <w:t>%), delle imprese manifatturiere (-1,</w:t>
      </w:r>
      <w:r w:rsidR="00A4303B">
        <w:rPr>
          <w:rFonts w:ascii="Cambria" w:hAnsi="Cambria"/>
          <w:sz w:val="22"/>
          <w:szCs w:val="18"/>
        </w:rPr>
        <w:t xml:space="preserve">3%); più contenuto quello </w:t>
      </w:r>
      <w:r>
        <w:rPr>
          <w:rFonts w:ascii="Cambria" w:hAnsi="Cambria"/>
          <w:sz w:val="22"/>
          <w:szCs w:val="18"/>
        </w:rPr>
        <w:t>delle costruzioni (-0,</w:t>
      </w:r>
      <w:r w:rsidR="00A4303B">
        <w:rPr>
          <w:rFonts w:ascii="Cambria" w:hAnsi="Cambria"/>
          <w:sz w:val="22"/>
          <w:szCs w:val="18"/>
        </w:rPr>
        <w:t>4</w:t>
      </w:r>
      <w:r>
        <w:rPr>
          <w:rFonts w:ascii="Cambria" w:hAnsi="Cambria"/>
          <w:sz w:val="22"/>
          <w:szCs w:val="18"/>
        </w:rPr>
        <w:t>%, cui pe</w:t>
      </w:r>
      <w:r w:rsidR="00A4303B">
        <w:rPr>
          <w:rFonts w:ascii="Cambria" w:hAnsi="Cambria"/>
          <w:sz w:val="22"/>
          <w:szCs w:val="18"/>
        </w:rPr>
        <w:t xml:space="preserve">rò </w:t>
      </w:r>
      <w:r w:rsidR="00B26D9A">
        <w:rPr>
          <w:rFonts w:ascii="Cambria" w:hAnsi="Cambria"/>
          <w:sz w:val="22"/>
          <w:szCs w:val="18"/>
        </w:rPr>
        <w:t>si accompagna</w:t>
      </w:r>
      <w:r w:rsidR="00A4303B">
        <w:rPr>
          <w:rFonts w:ascii="Cambria" w:hAnsi="Cambria"/>
          <w:sz w:val="22"/>
          <w:szCs w:val="18"/>
        </w:rPr>
        <w:t xml:space="preserve"> una crescita</w:t>
      </w:r>
      <w:r>
        <w:rPr>
          <w:rFonts w:ascii="Cambria" w:hAnsi="Cambria"/>
          <w:sz w:val="22"/>
          <w:szCs w:val="18"/>
        </w:rPr>
        <w:t xml:space="preserve"> delle attività immobiliari </w:t>
      </w:r>
      <w:r w:rsidR="00A4303B">
        <w:rPr>
          <w:rFonts w:ascii="Cambria" w:hAnsi="Cambria"/>
          <w:sz w:val="22"/>
          <w:szCs w:val="18"/>
        </w:rPr>
        <w:t>del</w:t>
      </w:r>
      <w:r>
        <w:rPr>
          <w:rFonts w:ascii="Cambria" w:hAnsi="Cambria"/>
          <w:sz w:val="22"/>
          <w:szCs w:val="18"/>
        </w:rPr>
        <w:t xml:space="preserve"> +1,</w:t>
      </w:r>
      <w:r w:rsidR="00A4303B">
        <w:rPr>
          <w:rFonts w:ascii="Cambria" w:hAnsi="Cambria"/>
          <w:sz w:val="22"/>
          <w:szCs w:val="18"/>
        </w:rPr>
        <w:t>1%). In aumento le consistenze delle attività dei servizi non com</w:t>
      </w:r>
      <w:r w:rsidR="00B26D9A">
        <w:rPr>
          <w:rFonts w:ascii="Cambria" w:hAnsi="Cambria"/>
          <w:sz w:val="22"/>
          <w:szCs w:val="18"/>
        </w:rPr>
        <w:t>merciali. Va notato come sull</w:t>
      </w:r>
      <w:r w:rsidR="00A4303B">
        <w:rPr>
          <w:rFonts w:ascii="Cambria" w:hAnsi="Cambria"/>
          <w:sz w:val="22"/>
          <w:szCs w:val="18"/>
        </w:rPr>
        <w:t xml:space="preserve">e </w:t>
      </w:r>
      <w:r w:rsidR="00B26D9A">
        <w:rPr>
          <w:rFonts w:ascii="Cambria" w:hAnsi="Cambria"/>
          <w:sz w:val="22"/>
          <w:szCs w:val="18"/>
        </w:rPr>
        <w:t xml:space="preserve">dinamiche </w:t>
      </w:r>
      <w:r w:rsidR="00A4303B">
        <w:rPr>
          <w:rFonts w:ascii="Cambria" w:hAnsi="Cambria"/>
          <w:sz w:val="22"/>
          <w:szCs w:val="18"/>
        </w:rPr>
        <w:t>settor</w:t>
      </w:r>
      <w:r w:rsidR="00B26D9A">
        <w:rPr>
          <w:rFonts w:ascii="Cambria" w:hAnsi="Cambria"/>
          <w:sz w:val="22"/>
          <w:szCs w:val="18"/>
        </w:rPr>
        <w:t>iali abbiano in parte</w:t>
      </w:r>
      <w:r w:rsidR="00A4303B">
        <w:rPr>
          <w:rFonts w:ascii="Cambria" w:hAnsi="Cambria"/>
          <w:sz w:val="22"/>
          <w:szCs w:val="18"/>
        </w:rPr>
        <w:t xml:space="preserve"> impattato le cessazioni d’ufficio, che solo in questo primo trimestre sono stati 1.351 e che</w:t>
      </w:r>
      <w:r w:rsidR="00963E0C">
        <w:rPr>
          <w:rFonts w:ascii="Cambria" w:hAnsi="Cambria"/>
          <w:sz w:val="22"/>
          <w:szCs w:val="18"/>
        </w:rPr>
        <w:t>, nell’arco degli ultimi dodici mesi, hanno portato alla cancellazione dal Registro Imprese di 1.712 posizioni e che</w:t>
      </w:r>
      <w:r w:rsidR="00A4303B">
        <w:rPr>
          <w:rFonts w:ascii="Cambria" w:hAnsi="Cambria"/>
          <w:sz w:val="22"/>
          <w:szCs w:val="18"/>
        </w:rPr>
        <w:t xml:space="preserve"> hanno coinvolto soprattutto il settore del commercio</w:t>
      </w:r>
      <w:r w:rsidR="00963E0C">
        <w:rPr>
          <w:rFonts w:ascii="Cambria" w:hAnsi="Cambria"/>
          <w:sz w:val="22"/>
          <w:szCs w:val="18"/>
        </w:rPr>
        <w:t xml:space="preserve"> (342)</w:t>
      </w:r>
      <w:r w:rsidR="00A4303B">
        <w:rPr>
          <w:rFonts w:ascii="Cambria" w:hAnsi="Cambria"/>
          <w:sz w:val="22"/>
          <w:szCs w:val="18"/>
        </w:rPr>
        <w:t>, del manifatturiero</w:t>
      </w:r>
      <w:r w:rsidR="00963E0C">
        <w:rPr>
          <w:rFonts w:ascii="Cambria" w:hAnsi="Cambria"/>
          <w:sz w:val="22"/>
          <w:szCs w:val="18"/>
        </w:rPr>
        <w:t xml:space="preserve"> (258)</w:t>
      </w:r>
      <w:r w:rsidR="00A4303B">
        <w:rPr>
          <w:rFonts w:ascii="Cambria" w:hAnsi="Cambria"/>
          <w:sz w:val="22"/>
          <w:szCs w:val="18"/>
        </w:rPr>
        <w:t xml:space="preserve">, dell’immobiliare </w:t>
      </w:r>
      <w:r w:rsidR="00963E0C">
        <w:rPr>
          <w:rFonts w:ascii="Cambria" w:hAnsi="Cambria"/>
          <w:sz w:val="22"/>
          <w:szCs w:val="18"/>
        </w:rPr>
        <w:t xml:space="preserve">(177) </w:t>
      </w:r>
      <w:r w:rsidR="00A4303B">
        <w:rPr>
          <w:rFonts w:ascii="Cambria" w:hAnsi="Cambria"/>
          <w:sz w:val="22"/>
          <w:szCs w:val="18"/>
        </w:rPr>
        <w:t>e delle costruzioni</w:t>
      </w:r>
      <w:r w:rsidR="00963E0C">
        <w:rPr>
          <w:rFonts w:ascii="Cambria" w:hAnsi="Cambria"/>
          <w:sz w:val="22"/>
          <w:szCs w:val="18"/>
        </w:rPr>
        <w:t xml:space="preserve"> (157)</w:t>
      </w:r>
      <w:r w:rsidR="00A4303B">
        <w:rPr>
          <w:rFonts w:ascii="Cambria" w:hAnsi="Cambria"/>
          <w:sz w:val="22"/>
          <w:szCs w:val="18"/>
        </w:rPr>
        <w:t>.</w:t>
      </w:r>
    </w:p>
    <w:p w:rsidR="005673A4" w:rsidRDefault="005673A4" w:rsidP="00F01EAE">
      <w:pPr>
        <w:ind w:firstLine="708"/>
        <w:jc w:val="both"/>
        <w:rPr>
          <w:rFonts w:ascii="Cambria" w:hAnsi="Cambria"/>
          <w:sz w:val="22"/>
          <w:szCs w:val="18"/>
        </w:rPr>
      </w:pPr>
    </w:p>
    <w:p w:rsidR="005673A4" w:rsidRDefault="005673A4" w:rsidP="005673A4">
      <w:pPr>
        <w:jc w:val="both"/>
        <w:rPr>
          <w:rFonts w:ascii="Cambria" w:hAnsi="Cambria"/>
          <w:sz w:val="22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Quadro di sintesi dell’imprenditoria attiva </w:t>
      </w:r>
      <w:proofErr w:type="spellStart"/>
      <w:r>
        <w:rPr>
          <w:rFonts w:ascii="Cambria" w:hAnsi="Cambria"/>
          <w:b/>
          <w:sz w:val="18"/>
          <w:szCs w:val="18"/>
        </w:rPr>
        <w:t>fioretina</w:t>
      </w:r>
      <w:proofErr w:type="spellEnd"/>
      <w:r>
        <w:rPr>
          <w:rFonts w:ascii="Cambria" w:hAnsi="Cambria"/>
          <w:b/>
          <w:sz w:val="18"/>
          <w:szCs w:val="18"/>
        </w:rPr>
        <w:t>-</w:t>
      </w:r>
    </w:p>
    <w:p w:rsidR="00963E0C" w:rsidRDefault="00963E0C" w:rsidP="00963E0C">
      <w:pPr>
        <w:jc w:val="both"/>
        <w:rPr>
          <w:rFonts w:ascii="Cambria" w:hAnsi="Cambria"/>
          <w:sz w:val="22"/>
          <w:szCs w:val="18"/>
        </w:rPr>
      </w:pPr>
      <w:r w:rsidRPr="00963E0C">
        <w:rPr>
          <w:noProof/>
        </w:rPr>
        <w:drawing>
          <wp:inline distT="0" distB="0" distL="0" distR="0" wp14:anchorId="110D5B5F" wp14:editId="4877128B">
            <wp:extent cx="6120130" cy="3095644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0C" w:rsidRDefault="00963E0C" w:rsidP="00963E0C">
      <w:pPr>
        <w:jc w:val="both"/>
        <w:rPr>
          <w:rFonts w:ascii="Cambria" w:hAnsi="Cambria"/>
          <w:sz w:val="22"/>
          <w:szCs w:val="18"/>
        </w:rPr>
      </w:pPr>
      <w:r w:rsidRPr="00963E0C">
        <w:rPr>
          <w:noProof/>
        </w:rPr>
        <w:drawing>
          <wp:inline distT="0" distB="0" distL="0" distR="0" wp14:anchorId="545C6C00" wp14:editId="78A81829">
            <wp:extent cx="6120130" cy="173813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A0" w:rsidRDefault="00B02CA0">
      <w:pPr>
        <w:jc w:val="both"/>
        <w:rPr>
          <w:rFonts w:ascii="Cambria" w:hAnsi="Cambria"/>
          <w:sz w:val="22"/>
          <w:szCs w:val="18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3"/>
        <w:gridCol w:w="1413"/>
        <w:gridCol w:w="1421"/>
        <w:gridCol w:w="1543"/>
      </w:tblGrid>
      <w:tr w:rsidR="00F50713" w:rsidTr="00A4303B">
        <w:trPr>
          <w:trHeight w:val="204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</w:tcPr>
          <w:p w:rsidR="00F50713" w:rsidRDefault="00F50713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</w:tcPr>
          <w:p w:rsidR="00F50713" w:rsidRDefault="00F5071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</w:tcPr>
          <w:p w:rsidR="00F50713" w:rsidRDefault="00F5071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</w:tcPr>
          <w:p w:rsidR="00F50713" w:rsidRDefault="00F5071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79550B" w:rsidRPr="0062726E" w:rsidRDefault="0079550B">
      <w:pPr>
        <w:jc w:val="both"/>
        <w:rPr>
          <w:rFonts w:ascii="Cambria" w:hAnsi="Cambria"/>
          <w:b/>
          <w:sz w:val="18"/>
          <w:szCs w:val="18"/>
        </w:rPr>
      </w:pPr>
    </w:p>
    <w:p w:rsidR="00F01EAE" w:rsidRPr="00F01EAE" w:rsidRDefault="00A4303B" w:rsidP="00B26D9A">
      <w:pPr>
        <w:ind w:left="2124" w:firstLine="708"/>
        <w:jc w:val="center"/>
        <w:rPr>
          <w:rFonts w:asciiTheme="majorHAnsi" w:hAnsiTheme="majorHAnsi" w:cs="Arial"/>
          <w:i/>
          <w:sz w:val="22"/>
          <w:szCs w:val="22"/>
        </w:rPr>
      </w:pPr>
      <w:r w:rsidRPr="00B26D9A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7D35209" wp14:editId="20FEE908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2162175" cy="781050"/>
            <wp:effectExtent l="0" t="0" r="9525" b="0"/>
            <wp:wrapTight wrapText="bothSides">
              <wp:wrapPolygon edited="0">
                <wp:start x="2093" y="0"/>
                <wp:lineTo x="1522" y="527"/>
                <wp:lineTo x="0" y="6849"/>
                <wp:lineTo x="0" y="20020"/>
                <wp:lineTo x="7232" y="21073"/>
                <wp:lineTo x="21505" y="21073"/>
                <wp:lineTo x="21505" y="18439"/>
                <wp:lineTo x="11419" y="16859"/>
                <wp:lineTo x="21505" y="12117"/>
                <wp:lineTo x="21505" y="9483"/>
                <wp:lineTo x="21124" y="8429"/>
                <wp:lineTo x="13512" y="0"/>
                <wp:lineTo x="2093" y="0"/>
              </wp:wrapPolygon>
            </wp:wrapTight>
            <wp:docPr id="4" name="Immagine 4" descr="Logo_250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50_6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E" w:rsidRPr="00B26D9A">
        <w:rPr>
          <w:rFonts w:asciiTheme="majorHAnsi" w:hAnsiTheme="majorHAnsi" w:cs="Arial"/>
          <w:i/>
          <w:sz w:val="20"/>
          <w:szCs w:val="22"/>
        </w:rPr>
        <w:t>Unità operativa Statistica e Studi</w:t>
      </w:r>
    </w:p>
    <w:p w:rsidR="00F01EAE" w:rsidRPr="00B26D9A" w:rsidRDefault="00F01EAE" w:rsidP="008803E6">
      <w:pPr>
        <w:jc w:val="center"/>
        <w:rPr>
          <w:rFonts w:asciiTheme="majorHAnsi" w:hAnsiTheme="majorHAnsi" w:cs="Arial"/>
          <w:i/>
          <w:sz w:val="20"/>
          <w:szCs w:val="22"/>
        </w:rPr>
      </w:pPr>
      <w:r w:rsidRPr="00B26D9A">
        <w:rPr>
          <w:rFonts w:asciiTheme="majorHAnsi" w:hAnsiTheme="majorHAnsi" w:cs="Arial"/>
          <w:i/>
          <w:sz w:val="20"/>
          <w:szCs w:val="22"/>
        </w:rPr>
        <w:t>Piazza dei Giudici, 3</w:t>
      </w:r>
    </w:p>
    <w:p w:rsidR="00F01EAE" w:rsidRPr="00B26D9A" w:rsidRDefault="00F01EAE" w:rsidP="008803E6">
      <w:pPr>
        <w:jc w:val="center"/>
        <w:rPr>
          <w:rFonts w:asciiTheme="majorHAnsi" w:hAnsiTheme="majorHAnsi" w:cs="Arial"/>
          <w:i/>
          <w:sz w:val="20"/>
          <w:szCs w:val="22"/>
        </w:rPr>
      </w:pPr>
      <w:r w:rsidRPr="00B26D9A">
        <w:rPr>
          <w:rFonts w:asciiTheme="majorHAnsi" w:hAnsiTheme="majorHAnsi" w:cs="Arial"/>
          <w:i/>
          <w:sz w:val="20"/>
          <w:szCs w:val="22"/>
        </w:rPr>
        <w:t>50122 - FIRENZE</w:t>
      </w:r>
    </w:p>
    <w:p w:rsidR="00B26D9A" w:rsidRDefault="00B26D9A" w:rsidP="00B26D9A">
      <w:pPr>
        <w:jc w:val="center"/>
        <w:rPr>
          <w:sz w:val="20"/>
        </w:rPr>
      </w:pPr>
    </w:p>
    <w:p w:rsidR="00F01EAE" w:rsidRPr="00B26D9A" w:rsidRDefault="000F5D84" w:rsidP="00B26D9A">
      <w:pPr>
        <w:jc w:val="center"/>
        <w:rPr>
          <w:rStyle w:val="Collegamentoipertestuale"/>
          <w:rFonts w:asciiTheme="majorHAnsi" w:hAnsiTheme="majorHAnsi" w:cs="Arial"/>
          <w:i/>
          <w:sz w:val="18"/>
          <w:szCs w:val="22"/>
        </w:rPr>
      </w:pPr>
      <w:hyperlink r:id="rId11" w:history="1">
        <w:r w:rsidR="00F01EAE" w:rsidRPr="00B26D9A">
          <w:rPr>
            <w:rStyle w:val="Collegamentoipertestuale"/>
            <w:rFonts w:asciiTheme="majorHAnsi" w:hAnsiTheme="majorHAnsi" w:cs="Arial"/>
            <w:i/>
            <w:sz w:val="18"/>
            <w:szCs w:val="22"/>
          </w:rPr>
          <w:t>statistica@fi.camcom.it</w:t>
        </w:r>
      </w:hyperlink>
      <w:r w:rsidR="00B26D9A" w:rsidRPr="00B26D9A">
        <w:rPr>
          <w:rStyle w:val="Collegamentoipertestuale"/>
          <w:rFonts w:asciiTheme="majorHAnsi" w:hAnsiTheme="majorHAnsi" w:cs="Arial"/>
          <w:i/>
          <w:sz w:val="18"/>
          <w:szCs w:val="22"/>
        </w:rPr>
        <w:t xml:space="preserve"> </w:t>
      </w:r>
      <w:r w:rsidR="00B26D9A" w:rsidRPr="00B26D9A">
        <w:rPr>
          <w:sz w:val="20"/>
        </w:rPr>
        <w:t xml:space="preserve">  </w:t>
      </w:r>
      <w:r w:rsidR="00F01EAE" w:rsidRPr="00B26D9A">
        <w:rPr>
          <w:rStyle w:val="Collegamentoipertestuale"/>
          <w:rFonts w:asciiTheme="majorHAnsi" w:hAnsiTheme="majorHAnsi" w:cs="Arial"/>
          <w:i/>
          <w:sz w:val="18"/>
          <w:szCs w:val="22"/>
        </w:rPr>
        <w:t>cciaa.firenze@fi.legalmail.camcom.it</w:t>
      </w:r>
    </w:p>
    <w:p w:rsidR="00F01EAE" w:rsidRPr="00F01EAE" w:rsidRDefault="00F01EAE" w:rsidP="008803E6">
      <w:pPr>
        <w:jc w:val="center"/>
        <w:rPr>
          <w:rFonts w:ascii="Arial" w:hAnsi="Arial" w:cs="Arial"/>
          <w:sz w:val="20"/>
          <w:szCs w:val="20"/>
        </w:rPr>
      </w:pPr>
    </w:p>
    <w:sectPr w:rsidR="00F01EAE" w:rsidRPr="00F01EAE" w:rsidSect="009F7177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3"/>
    <w:rsid w:val="00000D33"/>
    <w:rsid w:val="00000F65"/>
    <w:rsid w:val="00014321"/>
    <w:rsid w:val="00022482"/>
    <w:rsid w:val="00024EAA"/>
    <w:rsid w:val="0003540F"/>
    <w:rsid w:val="000B50CC"/>
    <w:rsid w:val="000F5D84"/>
    <w:rsid w:val="00112D82"/>
    <w:rsid w:val="0012363D"/>
    <w:rsid w:val="00123931"/>
    <w:rsid w:val="00125354"/>
    <w:rsid w:val="00140993"/>
    <w:rsid w:val="00154F95"/>
    <w:rsid w:val="0017593A"/>
    <w:rsid w:val="00175E92"/>
    <w:rsid w:val="001934D9"/>
    <w:rsid w:val="00196620"/>
    <w:rsid w:val="001F4326"/>
    <w:rsid w:val="001F57D5"/>
    <w:rsid w:val="002157CD"/>
    <w:rsid w:val="00240792"/>
    <w:rsid w:val="00240BC5"/>
    <w:rsid w:val="002418F5"/>
    <w:rsid w:val="002777EE"/>
    <w:rsid w:val="00290F5C"/>
    <w:rsid w:val="0029466D"/>
    <w:rsid w:val="002A7344"/>
    <w:rsid w:val="002B1A7F"/>
    <w:rsid w:val="002D3038"/>
    <w:rsid w:val="002F1140"/>
    <w:rsid w:val="00300DF0"/>
    <w:rsid w:val="00333DD2"/>
    <w:rsid w:val="00356957"/>
    <w:rsid w:val="0039434B"/>
    <w:rsid w:val="003B74E8"/>
    <w:rsid w:val="003C1A1D"/>
    <w:rsid w:val="003D60B8"/>
    <w:rsid w:val="003D71BF"/>
    <w:rsid w:val="004C04C1"/>
    <w:rsid w:val="004F2457"/>
    <w:rsid w:val="00536B7C"/>
    <w:rsid w:val="00542039"/>
    <w:rsid w:val="005542A3"/>
    <w:rsid w:val="005673A4"/>
    <w:rsid w:val="00585081"/>
    <w:rsid w:val="005853FD"/>
    <w:rsid w:val="00593499"/>
    <w:rsid w:val="005D1D5D"/>
    <w:rsid w:val="005D7ABC"/>
    <w:rsid w:val="005E0028"/>
    <w:rsid w:val="005E066F"/>
    <w:rsid w:val="005E0CC6"/>
    <w:rsid w:val="00624C27"/>
    <w:rsid w:val="0062726E"/>
    <w:rsid w:val="00640E5B"/>
    <w:rsid w:val="00645C6B"/>
    <w:rsid w:val="00650FA5"/>
    <w:rsid w:val="006B5C30"/>
    <w:rsid w:val="006E1FD8"/>
    <w:rsid w:val="006E5D85"/>
    <w:rsid w:val="006F5A56"/>
    <w:rsid w:val="00701783"/>
    <w:rsid w:val="00705771"/>
    <w:rsid w:val="007600D2"/>
    <w:rsid w:val="007815C7"/>
    <w:rsid w:val="0079550B"/>
    <w:rsid w:val="00796B22"/>
    <w:rsid w:val="007B408F"/>
    <w:rsid w:val="007B53F3"/>
    <w:rsid w:val="007C49BC"/>
    <w:rsid w:val="007E25F7"/>
    <w:rsid w:val="007E793D"/>
    <w:rsid w:val="0080434A"/>
    <w:rsid w:val="00806DAF"/>
    <w:rsid w:val="00826DD1"/>
    <w:rsid w:val="00850E3B"/>
    <w:rsid w:val="008735E7"/>
    <w:rsid w:val="008803E6"/>
    <w:rsid w:val="008C565D"/>
    <w:rsid w:val="008D57D3"/>
    <w:rsid w:val="008E0B33"/>
    <w:rsid w:val="008E4E2C"/>
    <w:rsid w:val="008F4CE2"/>
    <w:rsid w:val="009100B9"/>
    <w:rsid w:val="00963E0C"/>
    <w:rsid w:val="00985E4B"/>
    <w:rsid w:val="009A4142"/>
    <w:rsid w:val="009D4493"/>
    <w:rsid w:val="009F7177"/>
    <w:rsid w:val="00A1149D"/>
    <w:rsid w:val="00A21992"/>
    <w:rsid w:val="00A4303B"/>
    <w:rsid w:val="00A81F71"/>
    <w:rsid w:val="00A93582"/>
    <w:rsid w:val="00A9629E"/>
    <w:rsid w:val="00AB2F5D"/>
    <w:rsid w:val="00AF18E3"/>
    <w:rsid w:val="00AF2A3D"/>
    <w:rsid w:val="00AF5AA1"/>
    <w:rsid w:val="00B01336"/>
    <w:rsid w:val="00B02CA0"/>
    <w:rsid w:val="00B216D6"/>
    <w:rsid w:val="00B26D9A"/>
    <w:rsid w:val="00B40E4A"/>
    <w:rsid w:val="00B45536"/>
    <w:rsid w:val="00B568D1"/>
    <w:rsid w:val="00B74146"/>
    <w:rsid w:val="00B85D75"/>
    <w:rsid w:val="00B955CD"/>
    <w:rsid w:val="00B96885"/>
    <w:rsid w:val="00BE2D82"/>
    <w:rsid w:val="00BE58F2"/>
    <w:rsid w:val="00C30DF3"/>
    <w:rsid w:val="00C32437"/>
    <w:rsid w:val="00C67AEA"/>
    <w:rsid w:val="00CC3BBF"/>
    <w:rsid w:val="00CD2D5F"/>
    <w:rsid w:val="00D031DB"/>
    <w:rsid w:val="00D23997"/>
    <w:rsid w:val="00D24B7C"/>
    <w:rsid w:val="00D529B2"/>
    <w:rsid w:val="00D53ECD"/>
    <w:rsid w:val="00D648FD"/>
    <w:rsid w:val="00D872FA"/>
    <w:rsid w:val="00DB739B"/>
    <w:rsid w:val="00DE5B51"/>
    <w:rsid w:val="00E03E9D"/>
    <w:rsid w:val="00E04993"/>
    <w:rsid w:val="00E072A9"/>
    <w:rsid w:val="00E52D69"/>
    <w:rsid w:val="00EC14ED"/>
    <w:rsid w:val="00EC5580"/>
    <w:rsid w:val="00EC6871"/>
    <w:rsid w:val="00ED3BF6"/>
    <w:rsid w:val="00F01EAE"/>
    <w:rsid w:val="00F260B9"/>
    <w:rsid w:val="00F37DAA"/>
    <w:rsid w:val="00F4134B"/>
    <w:rsid w:val="00F50267"/>
    <w:rsid w:val="00F50713"/>
    <w:rsid w:val="00F51F0E"/>
    <w:rsid w:val="00F55253"/>
    <w:rsid w:val="00F73ACF"/>
    <w:rsid w:val="00F74601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826DD1"/>
    <w:pPr>
      <w:keepNext/>
      <w:outlineLvl w:val="3"/>
    </w:pPr>
    <w:rPr>
      <w:rFonts w:ascii="Arial" w:hAnsi="Arial" w:cs="Arial"/>
      <w:b/>
      <w:bCs/>
      <w:smallCaps/>
      <w:color w:val="FFFF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rsid w:val="008E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000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0D3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796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96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rsid w:val="00F01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826DD1"/>
    <w:pPr>
      <w:keepNext/>
      <w:outlineLvl w:val="3"/>
    </w:pPr>
    <w:rPr>
      <w:rFonts w:ascii="Arial" w:hAnsi="Arial" w:cs="Arial"/>
      <w:b/>
      <w:bCs/>
      <w:smallCaps/>
      <w:color w:val="FFFF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rsid w:val="008E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000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0D3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796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96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rsid w:val="00F01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atistica@fi.camcom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A72E-5C17-48F9-9A79-04BD879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Silvio Calandi</cp:lastModifiedBy>
  <cp:revision>6</cp:revision>
  <cp:lastPrinted>2019-04-26T09:14:00Z</cp:lastPrinted>
  <dcterms:created xsi:type="dcterms:W3CDTF">2020-04-16T14:43:00Z</dcterms:created>
  <dcterms:modified xsi:type="dcterms:W3CDTF">2020-04-17T08:46:00Z</dcterms:modified>
</cp:coreProperties>
</file>