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B0080E" w:rsidP="007E330D">
            <w:pPr>
              <w:jc w:val="both"/>
            </w:pPr>
            <w:r>
              <w:t>Libri giocattolo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1E1706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4041835C" wp14:editId="2C5927AE">
                  <wp:simplePos x="0" y="0"/>
                  <wp:positionH relativeFrom="column">
                    <wp:posOffset>3884528</wp:posOffset>
                  </wp:positionH>
                  <wp:positionV relativeFrom="paragraph">
                    <wp:posOffset>12065</wp:posOffset>
                  </wp:positionV>
                  <wp:extent cx="1591945" cy="1192530"/>
                  <wp:effectExtent l="0" t="0" r="8255" b="762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0" locked="0" layoutInCell="1" allowOverlap="1" wp14:anchorId="7270FD53" wp14:editId="73B34A97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45085</wp:posOffset>
                  </wp:positionV>
                  <wp:extent cx="1261745" cy="145097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5FBFCA46" wp14:editId="5BBFBF30">
                  <wp:simplePos x="0" y="0"/>
                  <wp:positionH relativeFrom="column">
                    <wp:posOffset>91610</wp:posOffset>
                  </wp:positionH>
                  <wp:positionV relativeFrom="paragraph">
                    <wp:posOffset>45902</wp:posOffset>
                  </wp:positionV>
                  <wp:extent cx="1457325" cy="1457325"/>
                  <wp:effectExtent l="0" t="0" r="9525" b="9525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0" locked="0" layoutInCell="1" allowOverlap="1" wp14:anchorId="66167385" wp14:editId="065AA26A">
                  <wp:simplePos x="0" y="0"/>
                  <wp:positionH relativeFrom="column">
                    <wp:posOffset>6127750</wp:posOffset>
                  </wp:positionH>
                  <wp:positionV relativeFrom="paragraph">
                    <wp:posOffset>117475</wp:posOffset>
                  </wp:positionV>
                  <wp:extent cx="1278255" cy="170497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1E1706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6E9415FD" wp14:editId="421C844B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14768</wp:posOffset>
                  </wp:positionV>
                  <wp:extent cx="1267460" cy="1789430"/>
                  <wp:effectExtent l="0" t="0" r="8890" b="127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6E941C83" wp14:editId="4316C15B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34925</wp:posOffset>
                  </wp:positionV>
                  <wp:extent cx="1303655" cy="179133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1E1706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8656" behindDoc="0" locked="0" layoutInCell="1" allowOverlap="1" wp14:anchorId="5B048BF6" wp14:editId="587A3648">
                  <wp:simplePos x="0" y="0"/>
                  <wp:positionH relativeFrom="column">
                    <wp:posOffset>943365</wp:posOffset>
                  </wp:positionH>
                  <wp:positionV relativeFrom="paragraph">
                    <wp:posOffset>125586</wp:posOffset>
                  </wp:positionV>
                  <wp:extent cx="1545590" cy="1518920"/>
                  <wp:effectExtent l="0" t="0" r="0" b="508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B0080E" w:rsidP="003512D0">
            <w:pPr>
              <w:jc w:val="both"/>
            </w:pPr>
            <w:r>
              <w:t>Libro di stoffa, plastica</w:t>
            </w:r>
            <w:r w:rsidR="00402C62">
              <w:t>, legno,</w:t>
            </w:r>
            <w:r>
              <w:t xml:space="preserve"> cartone o carta, costituito da poche pagine, contenente immagini semplici o da colorare</w:t>
            </w:r>
            <w:r w:rsidR="00402C62">
              <w:t xml:space="preserve"> e testi brevi</w:t>
            </w:r>
            <w:r>
              <w:t xml:space="preserve">. Può contenere elementi tattili, pieghevoli </w:t>
            </w:r>
            <w:r w:rsidR="00402C62">
              <w:t xml:space="preserve">(popup) </w:t>
            </w:r>
            <w:r>
              <w:t>o adesivi</w:t>
            </w:r>
            <w:r w:rsidR="00402C62">
              <w:t>, oppure dispositivi elettronici audiovisivi o componenti di gioco (puzzle o piccole costruzioni). Sono tipicamente destinati a bambini piccoli. Sono esclusi i libri con esclusivo scopo educativo.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00CCB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2B7BA3" w:rsidRPr="00816DC0" w:rsidRDefault="00402C62" w:rsidP="00E52A6D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I libri giocattolo rappresentano una delle casistiche più prossime alla zona grigia definita dalla direttiva giocattoli; può</w:t>
            </w:r>
            <w:r w:rsidR="00267859">
              <w:rPr>
                <w:i/>
              </w:rPr>
              <w:t xml:space="preserve"> infatti</w:t>
            </w:r>
            <w:r>
              <w:rPr>
                <w:i/>
              </w:rPr>
              <w:t xml:space="preserve"> non essere facile distinguere un libro prettamente educativo da uno con finalità ludiche </w:t>
            </w:r>
            <w:r w:rsidR="00267859">
              <w:rPr>
                <w:i/>
              </w:rPr>
              <w:t>in cui l’apprendimento si considera un elemento addizionale al gioco. La maggior parte dei prodotti di questa categoria è comunque destinata a bambini di età inferiore ai 36 mesi e in tale fascia di età sono praticamente inesistenti prodotti che possano essere considerati solo educativi.</w:t>
            </w:r>
            <w:r w:rsidR="00E52A6D">
              <w:rPr>
                <w:i/>
              </w:rPr>
              <w:t xml:space="preserve"> Nel caso di prodotti destinati a bambini con più di 3 anni, la discriminante rispetto ai libri educativi è spesso la presenza di figure da colorare.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confezione. Infine, nel caso di giocattoli venduti in espositori per i quali non è possibile marcare individualmente i prodotti è ammissibile che la marcatura sia apposta sull’espositore, purché rappresenti l’imballo originario.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D8765B" w:rsidRDefault="00D8765B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specifico;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2447CA" w:rsidRDefault="002447CA" w:rsidP="00695FC3">
            <w:pPr>
              <w:jc w:val="both"/>
              <w:rPr>
                <w:u w:val="single"/>
              </w:rPr>
            </w:pPr>
          </w:p>
          <w:p w:rsidR="002447CA" w:rsidRDefault="002447CA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lastRenderedPageBreak/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 w:rsidR="00E60298">
              <w:t xml:space="preserve"> applicabili al prodotto</w:t>
            </w:r>
            <w:r>
              <w:t>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</w:p>
          <w:p w:rsidR="001A2D7E" w:rsidRPr="007E68B4" w:rsidRDefault="001A2D7E" w:rsidP="001A2D7E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6F0BA4">
              <w:t xml:space="preserve">i </w:t>
            </w:r>
            <w:r w:rsidR="00E60298">
              <w:t>libri giocattolo</w:t>
            </w:r>
            <w:r w:rsidR="00182498">
              <w:t xml:space="preserve"> sono da ritenersi quasi sempre adatti a bambini di età inferiore ai 36 mesi, quindi si tratta di prodotti suscettibili di essere portati alla bocca</w:t>
            </w:r>
            <w:r w:rsidR="00813EC0">
              <w:t xml:space="preserve"> e determinare rischi di strangolamento e soffocamento. Oltre quindi a dover</w:t>
            </w:r>
            <w:r w:rsidR="00E4255D">
              <w:t xml:space="preserve"> essere privi di bordi taglienti, punte e parti sporgenti in grado di arrecare danno </w:t>
            </w:r>
            <w:r w:rsidR="00E4255D">
              <w:lastRenderedPageBreak/>
              <w:t>all’utilizzatore</w:t>
            </w:r>
            <w:r w:rsidR="002C7C57">
              <w:t>,</w:t>
            </w:r>
            <w:r w:rsidR="00BB66A2">
              <w:t xml:space="preserve"> devono </w:t>
            </w:r>
            <w:r w:rsidR="00E4255D">
              <w:t>essere esenti da alterazioni quali</w:t>
            </w:r>
            <w:r w:rsidR="002C7C57">
              <w:t xml:space="preserve"> fori, crepe, strappi, </w:t>
            </w:r>
            <w:r w:rsidR="00813EC0">
              <w:t xml:space="preserve">scuciture </w:t>
            </w:r>
            <w:r w:rsidR="002C7C57">
              <w:t>alterazioni del colore e simili difetti</w:t>
            </w:r>
            <w:r w:rsidR="00813EC0">
              <w:t xml:space="preserve">, nonché essere privi di accessori rimovibili </w:t>
            </w:r>
            <w:r w:rsidR="00831983">
              <w:t>rientranti nelle piccole parti, imbottiture cont</w:t>
            </w:r>
            <w:r w:rsidR="00E60298">
              <w:t>enenti corpi duri o appuntiti</w:t>
            </w:r>
            <w:r w:rsidR="00E4255D">
              <w:t xml:space="preserve">. La loro presenza è da individuare </w:t>
            </w:r>
            <w:r w:rsidR="002C7C57">
              <w:t>come una non conformità del prodotto di cui deve essere impedita la commercializzazione.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447AF1" w:rsidRDefault="00447AF1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F13245" w:rsidRP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="00A03AF8">
              <w:rPr>
                <w:b/>
              </w:rPr>
              <w:t>EN 71-12:2017</w:t>
            </w:r>
            <w:r w:rsidRPr="00010385">
              <w:rPr>
                <w:b/>
              </w:rPr>
              <w:t xml:space="preserve">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B0080E" w:rsidP="00CF4B55">
            <w:pPr>
              <w:ind w:left="35"/>
              <w:jc w:val="both"/>
              <w:rPr>
                <w:b/>
              </w:rPr>
            </w:pPr>
            <w:hyperlink r:id="rId17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lastRenderedPageBreak/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819FE"/>
    <w:rsid w:val="000A01B1"/>
    <w:rsid w:val="000A6908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605A5"/>
    <w:rsid w:val="00167FA6"/>
    <w:rsid w:val="00175BD5"/>
    <w:rsid w:val="00180B41"/>
    <w:rsid w:val="00182498"/>
    <w:rsid w:val="001A2D7E"/>
    <w:rsid w:val="001A76D5"/>
    <w:rsid w:val="001B710B"/>
    <w:rsid w:val="001C1ECA"/>
    <w:rsid w:val="001D0C2B"/>
    <w:rsid w:val="001D1854"/>
    <w:rsid w:val="001E1706"/>
    <w:rsid w:val="001E733C"/>
    <w:rsid w:val="001F7EC2"/>
    <w:rsid w:val="00200CCB"/>
    <w:rsid w:val="00202B97"/>
    <w:rsid w:val="00213A07"/>
    <w:rsid w:val="00236C55"/>
    <w:rsid w:val="002439B3"/>
    <w:rsid w:val="002447CA"/>
    <w:rsid w:val="002607E3"/>
    <w:rsid w:val="002635EB"/>
    <w:rsid w:val="00267859"/>
    <w:rsid w:val="00272345"/>
    <w:rsid w:val="002843ED"/>
    <w:rsid w:val="0029037C"/>
    <w:rsid w:val="00294A11"/>
    <w:rsid w:val="00297EA5"/>
    <w:rsid w:val="002A2C8E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512D0"/>
    <w:rsid w:val="00360B05"/>
    <w:rsid w:val="0036107B"/>
    <w:rsid w:val="003728E3"/>
    <w:rsid w:val="00377B27"/>
    <w:rsid w:val="00381113"/>
    <w:rsid w:val="003A3BBF"/>
    <w:rsid w:val="003B1E06"/>
    <w:rsid w:val="003B48F5"/>
    <w:rsid w:val="003B6537"/>
    <w:rsid w:val="003C018F"/>
    <w:rsid w:val="003C6011"/>
    <w:rsid w:val="003C702E"/>
    <w:rsid w:val="003D2C7B"/>
    <w:rsid w:val="003D749F"/>
    <w:rsid w:val="003E6B76"/>
    <w:rsid w:val="003F70D5"/>
    <w:rsid w:val="0040230C"/>
    <w:rsid w:val="00402C62"/>
    <w:rsid w:val="00402EE3"/>
    <w:rsid w:val="00417962"/>
    <w:rsid w:val="00422BF1"/>
    <w:rsid w:val="00426CE6"/>
    <w:rsid w:val="00442588"/>
    <w:rsid w:val="00443E3E"/>
    <w:rsid w:val="00447AF1"/>
    <w:rsid w:val="00456613"/>
    <w:rsid w:val="0046515B"/>
    <w:rsid w:val="0049334B"/>
    <w:rsid w:val="00494711"/>
    <w:rsid w:val="004A20A2"/>
    <w:rsid w:val="004A4960"/>
    <w:rsid w:val="004B5DB3"/>
    <w:rsid w:val="004D1159"/>
    <w:rsid w:val="004D219C"/>
    <w:rsid w:val="00504773"/>
    <w:rsid w:val="00506D86"/>
    <w:rsid w:val="0052084E"/>
    <w:rsid w:val="00520D19"/>
    <w:rsid w:val="0054430E"/>
    <w:rsid w:val="0055798B"/>
    <w:rsid w:val="00575E2E"/>
    <w:rsid w:val="00585A94"/>
    <w:rsid w:val="005900CE"/>
    <w:rsid w:val="005C1391"/>
    <w:rsid w:val="005E4424"/>
    <w:rsid w:val="005F3865"/>
    <w:rsid w:val="005F6EF7"/>
    <w:rsid w:val="00600ED0"/>
    <w:rsid w:val="006112A9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3FD4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1376"/>
    <w:rsid w:val="007E330D"/>
    <w:rsid w:val="007E68B4"/>
    <w:rsid w:val="00802B0F"/>
    <w:rsid w:val="00804649"/>
    <w:rsid w:val="008100A8"/>
    <w:rsid w:val="008110F4"/>
    <w:rsid w:val="00813EC0"/>
    <w:rsid w:val="008161AD"/>
    <w:rsid w:val="00817606"/>
    <w:rsid w:val="008246D3"/>
    <w:rsid w:val="00824B41"/>
    <w:rsid w:val="00827CF2"/>
    <w:rsid w:val="00830564"/>
    <w:rsid w:val="00831983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A003D2"/>
    <w:rsid w:val="00A03AF8"/>
    <w:rsid w:val="00A0693F"/>
    <w:rsid w:val="00A118F8"/>
    <w:rsid w:val="00A11DFE"/>
    <w:rsid w:val="00A2415D"/>
    <w:rsid w:val="00A26185"/>
    <w:rsid w:val="00A30EF1"/>
    <w:rsid w:val="00A31821"/>
    <w:rsid w:val="00A3713B"/>
    <w:rsid w:val="00A65C79"/>
    <w:rsid w:val="00A6763E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080E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B66A2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711BF"/>
    <w:rsid w:val="00C8149A"/>
    <w:rsid w:val="00C9636F"/>
    <w:rsid w:val="00CA4860"/>
    <w:rsid w:val="00CB0C52"/>
    <w:rsid w:val="00CB775D"/>
    <w:rsid w:val="00CC3FC4"/>
    <w:rsid w:val="00CE25C4"/>
    <w:rsid w:val="00CF4B55"/>
    <w:rsid w:val="00D014CD"/>
    <w:rsid w:val="00D116E8"/>
    <w:rsid w:val="00D14B4E"/>
    <w:rsid w:val="00D15188"/>
    <w:rsid w:val="00D31113"/>
    <w:rsid w:val="00D526C4"/>
    <w:rsid w:val="00D62429"/>
    <w:rsid w:val="00D814BC"/>
    <w:rsid w:val="00D8765B"/>
    <w:rsid w:val="00D95470"/>
    <w:rsid w:val="00DA4672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4255D"/>
    <w:rsid w:val="00E52A6D"/>
    <w:rsid w:val="00E54A78"/>
    <w:rsid w:val="00E5774A"/>
    <w:rsid w:val="00E60298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5A42-CDB7-464E-8D77-7F3ADF03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5</cp:revision>
  <dcterms:created xsi:type="dcterms:W3CDTF">2023-02-15T07:55:00Z</dcterms:created>
  <dcterms:modified xsi:type="dcterms:W3CDTF">2023-02-15T11:10:00Z</dcterms:modified>
</cp:coreProperties>
</file>