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4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756"/>
        <w:gridCol w:w="12052"/>
      </w:tblGrid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INDICE</w:t>
            </w:r>
          </w:p>
        </w:tc>
        <w:tc>
          <w:tcPr>
            <w:tcW w:w="3812" w:type="pct"/>
          </w:tcPr>
          <w:p w:rsidR="00802B0F" w:rsidRPr="009C3208" w:rsidRDefault="00802B0F" w:rsidP="00CF4B55">
            <w:pPr>
              <w:jc w:val="both"/>
            </w:pPr>
            <w:r w:rsidRPr="009C3208">
              <w:t>INFORMAZIONI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Categoria di prodotto</w:t>
            </w:r>
          </w:p>
        </w:tc>
        <w:tc>
          <w:tcPr>
            <w:tcW w:w="3812" w:type="pct"/>
          </w:tcPr>
          <w:p w:rsidR="00802B0F" w:rsidRDefault="005F3865" w:rsidP="00CF4B55">
            <w:pPr>
              <w:jc w:val="both"/>
            </w:pPr>
            <w:r>
              <w:t>Giocattoli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Sottocategoria prodotto</w:t>
            </w:r>
          </w:p>
        </w:tc>
        <w:tc>
          <w:tcPr>
            <w:tcW w:w="3812" w:type="pct"/>
          </w:tcPr>
          <w:p w:rsidR="00802B0F" w:rsidRDefault="00A130CD" w:rsidP="007E330D">
            <w:pPr>
              <w:jc w:val="both"/>
            </w:pPr>
            <w:r>
              <w:t>Biciclette Giocattolo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Immagine prodotto</w:t>
            </w:r>
          </w:p>
        </w:tc>
        <w:tc>
          <w:tcPr>
            <w:tcW w:w="3812" w:type="pct"/>
          </w:tcPr>
          <w:p w:rsidR="00802B0F" w:rsidRDefault="004B4089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4560" behindDoc="0" locked="0" layoutInCell="1" allowOverlap="1" wp14:anchorId="35FA7CD2" wp14:editId="65935955">
                  <wp:simplePos x="0" y="0"/>
                  <wp:positionH relativeFrom="column">
                    <wp:posOffset>4980305</wp:posOffset>
                  </wp:positionH>
                  <wp:positionV relativeFrom="paragraph">
                    <wp:posOffset>17943</wp:posOffset>
                  </wp:positionV>
                  <wp:extent cx="2336800" cy="1781175"/>
                  <wp:effectExtent l="0" t="0" r="6350" b="952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5407" behindDoc="0" locked="0" layoutInCell="1" allowOverlap="1" wp14:anchorId="0E2C2927" wp14:editId="4F337D15">
                  <wp:simplePos x="0" y="0"/>
                  <wp:positionH relativeFrom="column">
                    <wp:posOffset>-14442</wp:posOffset>
                  </wp:positionH>
                  <wp:positionV relativeFrom="paragraph">
                    <wp:posOffset>19050</wp:posOffset>
                  </wp:positionV>
                  <wp:extent cx="2389505" cy="1591945"/>
                  <wp:effectExtent l="0" t="0" r="0" b="8255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505" cy="159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717632" behindDoc="0" locked="0" layoutInCell="1" allowOverlap="1" wp14:anchorId="05526626" wp14:editId="45257946">
                  <wp:simplePos x="0" y="0"/>
                  <wp:positionH relativeFrom="column">
                    <wp:posOffset>2811780</wp:posOffset>
                  </wp:positionH>
                  <wp:positionV relativeFrom="paragraph">
                    <wp:posOffset>18415</wp:posOffset>
                  </wp:positionV>
                  <wp:extent cx="1838325" cy="1576070"/>
                  <wp:effectExtent l="0" t="0" r="9525" b="508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57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4B4089" w:rsidRDefault="004B4089" w:rsidP="00CF4B55">
            <w:pPr>
              <w:jc w:val="both"/>
            </w:pPr>
          </w:p>
          <w:p w:rsidR="000B24F0" w:rsidRDefault="004B4089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1792" behindDoc="0" locked="0" layoutInCell="1" allowOverlap="1" wp14:anchorId="1DBE6F7D" wp14:editId="2DC7C2A3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114300</wp:posOffset>
                  </wp:positionV>
                  <wp:extent cx="3213735" cy="1578610"/>
                  <wp:effectExtent l="0" t="0" r="5715" b="254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735" cy="157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24F0" w:rsidRDefault="000B24F0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E6D6E" w:rsidRDefault="000E6D6E" w:rsidP="00CF4B55">
            <w:pPr>
              <w:jc w:val="both"/>
            </w:pP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9C3208" w:rsidRDefault="00802B0F" w:rsidP="00CF4B55">
            <w:pPr>
              <w:jc w:val="both"/>
            </w:pPr>
            <w:r>
              <w:t xml:space="preserve">Descrizione prodotto e </w:t>
            </w:r>
            <w:r w:rsidRPr="009C3208">
              <w:t>destinazione d’</w:t>
            </w:r>
            <w:r>
              <w:t>uso</w:t>
            </w: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Default="00910612" w:rsidP="00910612">
            <w:pPr>
              <w:jc w:val="both"/>
            </w:pPr>
            <w:r>
              <w:t>Veicolo a due ruote, con o senza stabilizzatori, con un’altezza massima della sella (distanza fra il suolo e la parte superiore della superficie della sella, misurata con la sella in posizione orizzontale e il tubo reggisella posizionato alla profondità minima di inserimento) uguale o inferiore a 435 mm e mosso esclusivame</w:t>
            </w:r>
            <w:r w:rsidR="002322AD">
              <w:t xml:space="preserve">nte dall’energia </w:t>
            </w:r>
            <w:r>
              <w:t>muscolare del bambino</w:t>
            </w:r>
            <w:r w:rsidR="002322AD">
              <w:t xml:space="preserve"> posizionato</w:t>
            </w:r>
            <w:r>
              <w:t xml:space="preserve"> su tale veicolo, in particolare per mezzo di pedali, e che ha un meccanismo a ruote libere o una trasmissione fissa.</w:t>
            </w: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jc w:val="both"/>
              <w:rPr>
                <w:sz w:val="16"/>
                <w:szCs w:val="16"/>
              </w:rPr>
            </w:pPr>
          </w:p>
          <w:p w:rsidR="00802B0F" w:rsidRDefault="00802B0F" w:rsidP="00CF4B55">
            <w:pPr>
              <w:jc w:val="both"/>
            </w:pPr>
            <w:r>
              <w:t>Premessa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Default="00802B0F" w:rsidP="00CF4B55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Gli obblighi di garantire la conformità del prodotto gravano in via principale sul fabbricante e sull’importatore, tuttavia anche il distributore è chiamato a vigilare ed è</w:t>
            </w:r>
            <w:r w:rsidR="00A118F8">
              <w:rPr>
                <w:i/>
              </w:rPr>
              <w:t xml:space="preserve"> responsabile</w:t>
            </w:r>
            <w:r w:rsidR="00B60B69">
              <w:rPr>
                <w:i/>
              </w:rPr>
              <w:t xml:space="preserve"> (amministrativamente, civilmente o penalmente)</w:t>
            </w:r>
            <w:r w:rsidR="00A118F8">
              <w:rPr>
                <w:i/>
              </w:rPr>
              <w:t xml:space="preserve"> per la messa a disposizione sul mercato di prodotti non conformi.</w:t>
            </w:r>
          </w:p>
          <w:p w:rsidR="00200CCB" w:rsidRDefault="004A4960" w:rsidP="00B60B69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E’ dunque importante </w:t>
            </w:r>
            <w:r w:rsidR="00B60B69">
              <w:rPr>
                <w:i/>
              </w:rPr>
              <w:t>essere consapevoli di quali obblighi competono in qualità di distributore (all’ingrosso o al dettaglio) e quali azioni possono essere intraprese per ottemperare a questi obblighi.</w:t>
            </w:r>
          </w:p>
          <w:p w:rsidR="002B7BA3" w:rsidRPr="00816DC0" w:rsidRDefault="002322AD" w:rsidP="00604EE5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E’ bene evidenziare che, indipendentemente dalle decalcomanie e raffigurazioni presenti sul prodotto, una bicicletta è considerata giocattolo</w:t>
            </w:r>
            <w:r w:rsidR="00604EE5">
              <w:rPr>
                <w:i/>
              </w:rPr>
              <w:t>,</w:t>
            </w:r>
            <w:r>
              <w:rPr>
                <w:i/>
              </w:rPr>
              <w:t xml:space="preserve"> e non articolo sportivo</w:t>
            </w:r>
            <w:r w:rsidR="00604EE5">
              <w:rPr>
                <w:i/>
              </w:rPr>
              <w:t>,</w:t>
            </w:r>
            <w:r>
              <w:rPr>
                <w:i/>
              </w:rPr>
              <w:t xml:space="preserve"> sulla base della massima altezza della sella. </w:t>
            </w:r>
            <w:r w:rsidR="00604EE5">
              <w:rPr>
                <w:i/>
              </w:rPr>
              <w:t>Ad esempio</w:t>
            </w:r>
            <w:r>
              <w:rPr>
                <w:i/>
              </w:rPr>
              <w:t xml:space="preserve"> dunque, una bicicletta con sellino avente altezza massima inferiore ai 435 mm ma nessun richiamo a personaggi di cartoni animati o fumetti è considerato un giocattolo, mentre non lo è una bicicletta con altezza del sellino superiore a 435 mm, </w:t>
            </w:r>
            <w:r w:rsidR="00604EE5">
              <w:rPr>
                <w:i/>
              </w:rPr>
              <w:t xml:space="preserve">pur </w:t>
            </w:r>
            <w:r w:rsidR="00005C79">
              <w:rPr>
                <w:i/>
              </w:rPr>
              <w:t xml:space="preserve">se </w:t>
            </w:r>
            <w:r w:rsidR="00604EE5">
              <w:rPr>
                <w:i/>
              </w:rPr>
              <w:t>con immagini rappresentanti eroi dei fumetti.</w:t>
            </w:r>
          </w:p>
        </w:tc>
      </w:tr>
      <w:tr w:rsidR="00802B0F" w:rsidTr="00360B05">
        <w:tc>
          <w:tcPr>
            <w:tcW w:w="1188" w:type="pct"/>
            <w:tcBorders>
              <w:bottom w:val="single" w:sz="4" w:space="0" w:color="auto"/>
            </w:tcBorders>
            <w:shd w:val="clear" w:color="auto" w:fill="FFFF00"/>
          </w:tcPr>
          <w:p w:rsidR="00046B05" w:rsidRDefault="00046B05" w:rsidP="00CF4B55">
            <w:pPr>
              <w:jc w:val="both"/>
            </w:pPr>
            <w:r>
              <w:lastRenderedPageBreak/>
              <w:t>CONTROLLI VISIVI</w:t>
            </w:r>
          </w:p>
          <w:p w:rsidR="00802B0F" w:rsidRDefault="00AE2422" w:rsidP="00CF4B55">
            <w:pPr>
              <w:jc w:val="both"/>
            </w:pPr>
            <w:r>
              <w:t>chi mette in vendita in I</w:t>
            </w:r>
            <w:r w:rsidR="00046B05">
              <w:t>talia deve controllare che ci siano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FFFF00"/>
          </w:tcPr>
          <w:p w:rsidR="00802B0F" w:rsidRDefault="002E6D5F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La marcatura</w:t>
            </w:r>
            <w:r w:rsidR="00360B05">
              <w:t xml:space="preserve"> CE </w:t>
            </w:r>
          </w:p>
          <w:p w:rsidR="00802B0F" w:rsidRDefault="00360B05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un codice di identificazione univoca del prodotto (identificazione dell’articolo)</w:t>
            </w:r>
          </w:p>
          <w:p w:rsidR="00EC3CC9" w:rsidRDefault="00EC3CC9" w:rsidP="006D500D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l’</w:t>
            </w:r>
            <w:r w:rsidR="00360B05">
              <w:t xml:space="preserve">indicazione </w:t>
            </w:r>
            <w:r w:rsidR="00AE1AC2">
              <w:t xml:space="preserve">degli </w:t>
            </w:r>
            <w:r w:rsidR="00360B05">
              <w:t>estremi del fabbricante e dell’importatore (se il fabbricante non è europeo)</w:t>
            </w:r>
          </w:p>
          <w:p w:rsidR="008924FA" w:rsidRDefault="008924FA" w:rsidP="008924FA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dati di</w:t>
            </w:r>
            <w:r w:rsidR="00EB3D9D">
              <w:t xml:space="preserve"> targa e avvertenze</w:t>
            </w:r>
          </w:p>
          <w:p w:rsidR="006D500D" w:rsidRPr="009C3208" w:rsidRDefault="00360B05" w:rsidP="008924FA">
            <w:pPr>
              <w:pStyle w:val="Paragrafoelenco"/>
              <w:numPr>
                <w:ilvl w:val="0"/>
                <w:numId w:val="11"/>
              </w:numPr>
              <w:spacing w:after="60"/>
              <w:ind w:left="714" w:hanging="357"/>
              <w:jc w:val="both"/>
            </w:pPr>
            <w:r>
              <w:t xml:space="preserve">istruzioni </w:t>
            </w:r>
            <w:r w:rsidR="00AD1ED3">
              <w:t xml:space="preserve">e avvertenze </w:t>
            </w:r>
            <w:r>
              <w:t>in lingua italiana</w:t>
            </w:r>
          </w:p>
        </w:tc>
      </w:tr>
      <w:tr w:rsidR="00360B05" w:rsidTr="004D219C"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</w:tcPr>
          <w:p w:rsidR="00360B05" w:rsidRDefault="00EC3CC9" w:rsidP="00EC3CC9">
            <w:pPr>
              <w:jc w:val="both"/>
            </w:pPr>
            <w:r>
              <w:t>Attività necessarie per ottemperare ai CONTROLLI VISIVI</w:t>
            </w: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auto"/>
          </w:tcPr>
          <w:p w:rsidR="002E6D5F" w:rsidRPr="000A6908" w:rsidRDefault="002E6D5F" w:rsidP="00CF4B55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LA MARCATURA CE</w:t>
            </w:r>
          </w:p>
          <w:p w:rsidR="002E6D5F" w:rsidRDefault="002E6D5F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476613B7" wp14:editId="320F3F87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24131</wp:posOffset>
                  </wp:positionV>
                  <wp:extent cx="781050" cy="531684"/>
                  <wp:effectExtent l="0" t="0" r="0" b="1905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47" cy="53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6D5F" w:rsidRDefault="002E6D5F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</w:p>
          <w:p w:rsidR="00360B05" w:rsidRDefault="00360B05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  <w:r w:rsidRPr="002E6D5F">
              <w:t>La marcatura CE è un indicatore fondamentale (ma non una prova) della conformità del prodotto alla legislazione dell'UE e consente la libera circolazione dei prodotti</w:t>
            </w:r>
            <w:r>
              <w:t xml:space="preserve"> all'interno del mercato del Sistema Economico Europeo. Deve rispettare specifiche proporzioni per potersi definire conforme</w:t>
            </w:r>
            <w:r w:rsidR="0046515B">
              <w:t xml:space="preserve"> e deve essere apposta sul prodotto cui si riferisce in maniera visibile, leggibile e indelebile.</w:t>
            </w:r>
          </w:p>
          <w:p w:rsidR="0046515B" w:rsidRDefault="0046515B" w:rsidP="00CF4B55">
            <w:pPr>
              <w:jc w:val="both"/>
            </w:pPr>
          </w:p>
          <w:p w:rsidR="0046515B" w:rsidRPr="00D95470" w:rsidRDefault="00E8023F" w:rsidP="00DE021D">
            <w:pPr>
              <w:jc w:val="both"/>
              <w:rPr>
                <w:b/>
              </w:rPr>
            </w:pPr>
            <w:r>
              <w:t xml:space="preserve">La </w:t>
            </w:r>
            <w:r w:rsidR="0046515B">
              <w:t xml:space="preserve">norma </w:t>
            </w:r>
            <w:r>
              <w:t xml:space="preserve">applicabile </w:t>
            </w:r>
            <w:r w:rsidR="00AE4E8E">
              <w:t>ai giocattoli</w:t>
            </w:r>
            <w:r>
              <w:t xml:space="preserve"> </w:t>
            </w:r>
            <w:r w:rsidR="0046515B">
              <w:t>impone l’apposizione</w:t>
            </w:r>
            <w:r w:rsidR="00DE021D">
              <w:t xml:space="preserve"> </w:t>
            </w:r>
            <w:r w:rsidR="00DE021D" w:rsidRPr="0046515B">
              <w:t>della m</w:t>
            </w:r>
            <w:r w:rsidR="00DE021D">
              <w:t xml:space="preserve">arcatura CE </w:t>
            </w:r>
            <w:r w:rsidR="0046515B">
              <w:t xml:space="preserve">direttamente sul </w:t>
            </w:r>
            <w:r w:rsidR="00AE4E8E">
              <w:t>prodotto</w:t>
            </w:r>
            <w:r w:rsidR="007E68B4">
              <w:t>,</w:t>
            </w:r>
            <w:r w:rsidR="0046515B">
              <w:t xml:space="preserve"> </w:t>
            </w:r>
            <w:r w:rsidR="001C1ECA">
              <w:t xml:space="preserve">sostituibile da quella apposta </w:t>
            </w:r>
            <w:r w:rsidR="0046515B">
              <w:t>sull’imballaggio</w:t>
            </w:r>
            <w:r w:rsidR="00DE021D">
              <w:t xml:space="preserve"> </w:t>
            </w:r>
            <w:r w:rsidR="00ED0555">
              <w:t>del</w:t>
            </w:r>
            <w:r w:rsidR="003728E3">
              <w:t>l’articolo</w:t>
            </w:r>
            <w:r w:rsidR="00ED0555">
              <w:t xml:space="preserve"> </w:t>
            </w:r>
            <w:r w:rsidR="0046515B">
              <w:t xml:space="preserve">solo nel caso in cui </w:t>
            </w:r>
            <w:r w:rsidR="00DE021D">
              <w:t>risulti</w:t>
            </w:r>
            <w:r w:rsidR="0046515B">
              <w:t xml:space="preserve"> </w:t>
            </w:r>
            <w:r w:rsidR="0046515B" w:rsidRPr="0046515B">
              <w:t>impossibile</w:t>
            </w:r>
            <w:r w:rsidR="00AE4E8E">
              <w:t>,</w:t>
            </w:r>
            <w:r w:rsidR="0046515B" w:rsidRPr="0046515B">
              <w:t xml:space="preserve"> </w:t>
            </w:r>
            <w:r w:rsidR="00DE021D">
              <w:t xml:space="preserve">tecnicamente </w:t>
            </w:r>
            <w:r w:rsidR="0046515B">
              <w:t xml:space="preserve">o </w:t>
            </w:r>
            <w:r w:rsidR="0046515B" w:rsidRPr="0046515B">
              <w:t>a condizioni ragionevoli dal punto di vista tecnico o economico</w:t>
            </w:r>
            <w:r w:rsidR="00DE021D">
              <w:t xml:space="preserve">, </w:t>
            </w:r>
            <w:r w:rsidR="00AE4E8E">
              <w:t xml:space="preserve">apporla sul prodotto, </w:t>
            </w:r>
            <w:r w:rsidR="00DE021D">
              <w:t>oppure non si possano garantire</w:t>
            </w:r>
            <w:r w:rsidR="0046515B" w:rsidRPr="0046515B">
              <w:t xml:space="preserve"> le dimensioni minime per l'apposizione</w:t>
            </w:r>
            <w:r w:rsidR="00D15188">
              <w:t xml:space="preserve"> (il marchio CE deve avere una dimensione minima di 5mm di lato)</w:t>
            </w:r>
            <w:r w:rsidR="0046515B" w:rsidRPr="0046515B">
              <w:t xml:space="preserve">, o </w:t>
            </w:r>
            <w:r w:rsidR="00DE021D">
              <w:t xml:space="preserve">ancora </w:t>
            </w:r>
            <w:r w:rsidR="0046515B" w:rsidRPr="0046515B">
              <w:t>non si p</w:t>
            </w:r>
            <w:r w:rsidR="00DE021D">
              <w:t>ossa</w:t>
            </w:r>
            <w:r w:rsidR="0046515B" w:rsidRPr="0046515B">
              <w:t xml:space="preserve"> garantire che la marcatura CE risulti v</w:t>
            </w:r>
            <w:r w:rsidR="00F2042A">
              <w:t>isibile, leggibile e indelebile. Da sottolineare che laddove la marcatura CE apposta sul prodotto non sia visibile dall’esterno senza aprire l’imballo è necessario che la marcatura sia riportata anche sulla confezione</w:t>
            </w:r>
            <w:r w:rsidR="00604EE5">
              <w:t>.</w:t>
            </w:r>
            <w:r w:rsidR="00DE021D">
              <w:t xml:space="preserve"> </w:t>
            </w:r>
            <w:r w:rsidR="00DE021D" w:rsidRPr="00D95470">
              <w:rPr>
                <w:b/>
              </w:rPr>
              <w:t xml:space="preserve">È NECESSARIO CHE IL DISTRIBUTORE SI ACCERTI DELLA PRESENZA DELLA MARCATURA CE DIRETTAMENTE </w:t>
            </w:r>
            <w:r w:rsidR="003728E3">
              <w:rPr>
                <w:b/>
              </w:rPr>
              <w:t>SU CIASCUN G</w:t>
            </w:r>
            <w:r w:rsidR="00AE4E8E">
              <w:rPr>
                <w:b/>
              </w:rPr>
              <w:t>IOCATTOLO</w:t>
            </w:r>
            <w:r w:rsidR="00DE021D" w:rsidRPr="00D95470">
              <w:rPr>
                <w:b/>
              </w:rPr>
              <w:t xml:space="preserve"> APRENDO ALMENO UNA CONFEZIONE</w:t>
            </w:r>
            <w:r w:rsidR="00064BDA">
              <w:rPr>
                <w:b/>
              </w:rPr>
              <w:t>. NON E’ DA RITENERSI CON</w:t>
            </w:r>
            <w:r w:rsidR="009A0C5F">
              <w:rPr>
                <w:b/>
              </w:rPr>
              <w:t>FORME L’APPOSIZIONE SUL PRODOTTO DELLA MARCATURA CE A MEZZO ADESIVI (mancanza del requisito di</w:t>
            </w:r>
            <w:r w:rsidR="007C46A8">
              <w:rPr>
                <w:b/>
              </w:rPr>
              <w:t xml:space="preserve"> marchio indelebile</w:t>
            </w:r>
            <w:r w:rsidR="009A0C5F">
              <w:rPr>
                <w:b/>
              </w:rPr>
              <w:t>).</w:t>
            </w:r>
          </w:p>
          <w:p w:rsidR="00DE021D" w:rsidRDefault="00DE021D" w:rsidP="00DE021D">
            <w:pPr>
              <w:jc w:val="both"/>
            </w:pPr>
          </w:p>
          <w:p w:rsidR="00710C8E" w:rsidRPr="000A6908" w:rsidRDefault="00710C8E" w:rsidP="00DE021D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CODICE IDENTIFICATIVO DEL PRODOTTO</w:t>
            </w:r>
          </w:p>
          <w:p w:rsidR="00710C8E" w:rsidRDefault="00710C8E" w:rsidP="00DE021D">
            <w:pPr>
              <w:jc w:val="both"/>
            </w:pPr>
          </w:p>
          <w:p w:rsidR="00710C8E" w:rsidRPr="00D95470" w:rsidRDefault="00710C8E" w:rsidP="00644E2C">
            <w:pPr>
              <w:jc w:val="both"/>
              <w:rPr>
                <w:b/>
              </w:rPr>
            </w:pPr>
            <w:r>
              <w:t xml:space="preserve">La norma impone che </w:t>
            </w:r>
            <w:r w:rsidR="00644E2C">
              <w:t xml:space="preserve">su </w:t>
            </w:r>
            <w:r>
              <w:t xml:space="preserve">ogni </w:t>
            </w:r>
            <w:r w:rsidR="003728E3">
              <w:t>g</w:t>
            </w:r>
            <w:r w:rsidR="00AE4E8E">
              <w:t>iocattolo</w:t>
            </w:r>
            <w:r>
              <w:t xml:space="preserve"> sia </w:t>
            </w:r>
            <w:r w:rsidR="00644E2C">
              <w:t>presente un numero di tipo, di lotto o seriale</w:t>
            </w:r>
            <w:r w:rsidR="00D15188">
              <w:t>,</w:t>
            </w:r>
            <w:r w:rsidR="00644E2C">
              <w:t xml:space="preserve"> o altro elemento identificativo, che individui univocamente il prodotto. Questo elemento è importante per la tracciabilità e </w:t>
            </w:r>
            <w:r w:rsidR="00D15188">
              <w:t>per l’</w:t>
            </w:r>
            <w:r w:rsidR="00644E2C">
              <w:t xml:space="preserve">individuazione di quali esemplari siano eventualmente interessati </w:t>
            </w:r>
            <w:r w:rsidR="00864669">
              <w:t>da</w:t>
            </w:r>
            <w:r w:rsidR="00644E2C">
              <w:t xml:space="preserve"> ritiri o richiami dal mercato.</w:t>
            </w:r>
            <w:r w:rsidR="00864669">
              <w:t xml:space="preserve"> Anche in questo caso si tratta di una marcatura che deve risultare visibile, leggibile e indelebile sul prodotto e solo in alcuni casi sostituibile dall’indicazione sulla confezione; </w:t>
            </w:r>
            <w:r w:rsidR="00D15188">
              <w:t xml:space="preserve">pertanto </w:t>
            </w:r>
            <w:r w:rsidR="00864669" w:rsidRPr="00D95470">
              <w:rPr>
                <w:b/>
              </w:rPr>
              <w:t xml:space="preserve">È NECESSARIO CHE IL DISTRIBUTORE SI ACCERTI DELLA PRESENZA DEL CODICE IDENTIFICATIVO DIRETTAMENTE </w:t>
            </w:r>
            <w:r w:rsidR="003728E3">
              <w:rPr>
                <w:b/>
              </w:rPr>
              <w:t xml:space="preserve">SU CIASCUN </w:t>
            </w:r>
            <w:r w:rsidR="00AE4E8E">
              <w:rPr>
                <w:b/>
              </w:rPr>
              <w:t>PRODOTTO</w:t>
            </w:r>
            <w:r w:rsidR="00864669" w:rsidRPr="00D95470">
              <w:rPr>
                <w:b/>
              </w:rPr>
              <w:t xml:space="preserve"> APRENDO ALMENO UNA CONFEZIONE</w:t>
            </w:r>
          </w:p>
          <w:p w:rsidR="00864669" w:rsidRDefault="00864669" w:rsidP="00644E2C">
            <w:pPr>
              <w:jc w:val="both"/>
            </w:pPr>
          </w:p>
          <w:p w:rsidR="00EB3D9D" w:rsidRDefault="00EB3D9D" w:rsidP="00644E2C">
            <w:pPr>
              <w:jc w:val="both"/>
            </w:pPr>
          </w:p>
          <w:p w:rsidR="00604EE5" w:rsidRDefault="00604EE5" w:rsidP="00644E2C">
            <w:pPr>
              <w:jc w:val="both"/>
            </w:pPr>
          </w:p>
          <w:p w:rsidR="00864669" w:rsidRPr="000A6908" w:rsidRDefault="00864669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lastRenderedPageBreak/>
              <w:t>ESTREMI DEL FABBRICANTE E DELL’IMPORTATORE</w:t>
            </w:r>
          </w:p>
          <w:p w:rsidR="00864669" w:rsidRDefault="00864669" w:rsidP="00644E2C">
            <w:pPr>
              <w:jc w:val="both"/>
            </w:pPr>
          </w:p>
          <w:p w:rsidR="00864669" w:rsidRDefault="00864669" w:rsidP="00644E2C">
            <w:pPr>
              <w:jc w:val="both"/>
            </w:pPr>
            <w:r>
              <w:t>Il fabbricante è secondo la norma il soggetto che produce o fa produrre a proprio nome un certo prodotto; è il soggetto responsabile della sicurezza del</w:t>
            </w:r>
            <w:r w:rsidR="00C37B51">
              <w:t>lo stesso</w:t>
            </w:r>
            <w:r>
              <w:t xml:space="preserve"> e della sua conformità a tutti i requisiti fissati dalla norma. Ove il fabbricante non abbia sede</w:t>
            </w:r>
            <w:r w:rsidR="00442588">
              <w:t xml:space="preserve"> nella comunità europea è necessario che sia presente l’importatore, come responsabile dell’immissione del prodotto</w:t>
            </w:r>
            <w:r w:rsidR="001C1ECA">
              <w:t>, in affiancamento al produttore originario</w:t>
            </w:r>
            <w:r w:rsidR="00442588">
              <w:t>.</w:t>
            </w:r>
          </w:p>
          <w:p w:rsidR="00442588" w:rsidRDefault="00442588" w:rsidP="00644E2C">
            <w:pPr>
              <w:jc w:val="both"/>
            </w:pPr>
          </w:p>
          <w:p w:rsidR="00442588" w:rsidRDefault="00442588" w:rsidP="00644E2C">
            <w:pPr>
              <w:jc w:val="both"/>
            </w:pPr>
            <w:r>
              <w:t>Fabbricante e importatore hanno l’obbligo di apporre i loro estremi direttamente sul prodotto, nella forma di: nome, denominazione commerciale registrata o marchio registrato e indirizzo postale al quale essere contattati</w:t>
            </w:r>
            <w:r w:rsidR="00DE3D31">
              <w:t>.</w:t>
            </w:r>
          </w:p>
          <w:p w:rsidR="00DE3D31" w:rsidRPr="00D95470" w:rsidRDefault="00DE3D31" w:rsidP="00644E2C">
            <w:pPr>
              <w:jc w:val="both"/>
              <w:rPr>
                <w:b/>
              </w:rPr>
            </w:pPr>
            <w:r>
              <w:t xml:space="preserve">Anche in questo caso i dati riportati in confezione o su un documento che accompagna il prodotto </w:t>
            </w:r>
            <w:r w:rsidR="009A0C5F">
              <w:t xml:space="preserve">fino al consumatore finale </w:t>
            </w:r>
            <w:r>
              <w:t xml:space="preserve">possono sostituire quelli sul prodotto stesso solo in casi conclamati di impossibilità tecnica o economica, non per motivi di estetica, quindi </w:t>
            </w:r>
            <w:r w:rsidRPr="00D95470">
              <w:rPr>
                <w:b/>
              </w:rPr>
              <w:t>È NECESSARIO CHE IL DISTRIBUTORE SI ACCERTI DELLA PRESENZA DEGLI ESTREMI DEL FABBRICANTE E DELL’IMPORTATORE DIRETTAMENTE SUL PRODOTTO APRENDO ALMENO UNA CONFEZIONE</w:t>
            </w:r>
          </w:p>
          <w:p w:rsidR="00DE3D31" w:rsidRDefault="00DE3D31" w:rsidP="00644E2C">
            <w:pPr>
              <w:jc w:val="both"/>
            </w:pPr>
          </w:p>
          <w:p w:rsidR="00AE442C" w:rsidRDefault="00AE442C" w:rsidP="00AE44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 xml:space="preserve">DATI DI TARGA </w:t>
            </w:r>
            <w:r w:rsidR="00EB3D9D">
              <w:rPr>
                <w:u w:val="single"/>
              </w:rPr>
              <w:t>E AVVERTENZE</w:t>
            </w:r>
          </w:p>
          <w:p w:rsidR="00AE442C" w:rsidRDefault="00AE442C" w:rsidP="00AE442C">
            <w:pPr>
              <w:jc w:val="both"/>
            </w:pPr>
          </w:p>
          <w:p w:rsidR="00AE442C" w:rsidRDefault="00AE442C" w:rsidP="00AE442C">
            <w:pPr>
              <w:jc w:val="both"/>
            </w:pPr>
            <w:r>
              <w:t xml:space="preserve">La norma deriva la presunzione della conformità agli obiettivi di sicurezza di un </w:t>
            </w:r>
            <w:r w:rsidR="00AE4E8E">
              <w:t>giocattolo</w:t>
            </w:r>
            <w:r>
              <w:t xml:space="preserve"> dalla conformità dello stesso alle norme armonizzate ad esso applicabili. </w:t>
            </w:r>
            <w:r w:rsidR="0071674E">
              <w:t>La</w:t>
            </w:r>
            <w:r>
              <w:t xml:space="preserve"> </w:t>
            </w:r>
            <w:r w:rsidR="00C146BA">
              <w:t xml:space="preserve">principale </w:t>
            </w:r>
            <w:r>
              <w:t xml:space="preserve">normativa tecnica </w:t>
            </w:r>
            <w:r w:rsidR="0071674E">
              <w:t xml:space="preserve">applicabile ai giocattoli e costituita dall’insieme delle norme </w:t>
            </w:r>
            <w:r>
              <w:t>ar</w:t>
            </w:r>
            <w:r w:rsidR="003B48F5">
              <w:t>monizzat</w:t>
            </w:r>
            <w:r w:rsidR="0071674E">
              <w:t>e:</w:t>
            </w:r>
            <w:r w:rsidR="003B48F5">
              <w:t xml:space="preserve"> UNI EN </w:t>
            </w:r>
            <w:r w:rsidR="0071674E">
              <w:t>71-1</w:t>
            </w:r>
            <w:r w:rsidR="003B48F5">
              <w:t>:20</w:t>
            </w:r>
            <w:r w:rsidR="0071674E">
              <w:t>18 per le proprietà meccaniche e fisiche, UNI EN 71-2:2021 per l’infiammabilità e la UNI EN 71-3:</w:t>
            </w:r>
            <w:r w:rsidR="00C146BA">
              <w:t>2021</w:t>
            </w:r>
            <w:r w:rsidR="0071674E">
              <w:t xml:space="preserve"> per </w:t>
            </w:r>
            <w:r w:rsidR="00C146BA">
              <w:t>la migrazione di alcuni elementi. Queste norme</w:t>
            </w:r>
            <w:r w:rsidR="0071674E">
              <w:t xml:space="preserve"> </w:t>
            </w:r>
            <w:r>
              <w:t>impon</w:t>
            </w:r>
            <w:r w:rsidR="00C146BA">
              <w:t>gono</w:t>
            </w:r>
            <w:r>
              <w:t xml:space="preserve"> l’indicazione su ciascun g</w:t>
            </w:r>
            <w:r w:rsidR="00C146BA">
              <w:t>iocattolo</w:t>
            </w:r>
            <w:r>
              <w:t>, in modo permanente al fine di rimanere visibili e leggibili per tutta la vita utile, i seguenti elementi:</w:t>
            </w:r>
          </w:p>
          <w:p w:rsidR="00AE442C" w:rsidRDefault="00AE442C" w:rsidP="00AE442C">
            <w:pPr>
              <w:jc w:val="both"/>
            </w:pPr>
          </w:p>
          <w:p w:rsidR="00D8765B" w:rsidRDefault="00D8765B" w:rsidP="006650C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la marcatura CE;</w:t>
            </w:r>
          </w:p>
          <w:p w:rsidR="003B48F5" w:rsidRDefault="001A76D5" w:rsidP="006650C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gli estremi completi del fabbricante e dell’importatore (nome o marchio e indirizzo);</w:t>
            </w:r>
          </w:p>
          <w:p w:rsidR="006C3FD4" w:rsidRDefault="003B48F5" w:rsidP="006C3FD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codice identificativo del prodotto;</w:t>
            </w:r>
          </w:p>
          <w:p w:rsidR="006C3FD4" w:rsidRDefault="002607E3" w:rsidP="006C3FD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se applicabile l’avvertenza relativa</w:t>
            </w:r>
            <w:r w:rsidR="00C146BA">
              <w:t xml:space="preserve"> all’età</w:t>
            </w:r>
            <w:r w:rsidR="006C3FD4">
              <w:t xml:space="preserve"> nell</w:t>
            </w:r>
            <w:r w:rsidR="00A30EF1">
              <w:t>a</w:t>
            </w:r>
            <w:r w:rsidR="006C3FD4">
              <w:t xml:space="preserve"> forma di:</w:t>
            </w:r>
          </w:p>
          <w:p w:rsidR="006C3FD4" w:rsidRPr="006C3FD4" w:rsidRDefault="006C3FD4" w:rsidP="006C3FD4">
            <w:pPr>
              <w:pStyle w:val="Paragrafoelenco"/>
              <w:jc w:val="both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2512" behindDoc="0" locked="0" layoutInCell="1" allowOverlap="1" wp14:anchorId="0E04F50A" wp14:editId="6F392FAF">
                  <wp:simplePos x="0" y="0"/>
                  <wp:positionH relativeFrom="column">
                    <wp:posOffset>1686923</wp:posOffset>
                  </wp:positionH>
                  <wp:positionV relativeFrom="paragraph">
                    <wp:posOffset>6350</wp:posOffset>
                  </wp:positionV>
                  <wp:extent cx="387985" cy="374015"/>
                  <wp:effectExtent l="0" t="0" r="0" b="698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ttogramm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8F5" w:rsidRDefault="006C3FD4" w:rsidP="006C3FD4">
            <w:pPr>
              <w:pStyle w:val="Paragrafoelenco"/>
              <w:numPr>
                <w:ilvl w:val="1"/>
                <w:numId w:val="21"/>
              </w:numPr>
              <w:jc w:val="both"/>
            </w:pPr>
            <w:r>
              <w:t>pittogramma</w:t>
            </w:r>
            <w:r w:rsidR="00C146BA">
              <w:t xml:space="preserve"> </w:t>
            </w:r>
            <w:r>
              <w:t xml:space="preserve">        </w:t>
            </w:r>
            <w:r w:rsidR="00C146BA">
              <w:t xml:space="preserve">     accompagnato dalla parola “A</w:t>
            </w:r>
            <w:r w:rsidR="00A30EF1">
              <w:t>ttenzione” (o “Avvertenza</w:t>
            </w:r>
            <w:r w:rsidR="00C146BA">
              <w:t>”</w:t>
            </w:r>
            <w:r w:rsidR="00A30EF1">
              <w:t xml:space="preserve"> o “Avvertenze”)</w:t>
            </w:r>
            <w:r w:rsidR="00817606">
              <w:t>;</w:t>
            </w:r>
          </w:p>
          <w:p w:rsidR="006C3FD4" w:rsidRPr="006C3FD4" w:rsidRDefault="006C3FD4" w:rsidP="006C3FD4">
            <w:pPr>
              <w:jc w:val="both"/>
              <w:rPr>
                <w:sz w:val="16"/>
                <w:szCs w:val="16"/>
              </w:rPr>
            </w:pPr>
          </w:p>
          <w:p w:rsidR="00A30EF1" w:rsidRDefault="00A30EF1" w:rsidP="006C3FD4">
            <w:pPr>
              <w:pStyle w:val="Paragrafoelenco"/>
              <w:numPr>
                <w:ilvl w:val="1"/>
                <w:numId w:val="21"/>
              </w:numPr>
              <w:jc w:val="both"/>
            </w:pPr>
            <w:r>
              <w:t>dicitura “</w:t>
            </w:r>
            <w:r w:rsidRPr="001A76D5">
              <w:rPr>
                <w:i/>
              </w:rPr>
              <w:t>Attenzione. Non adatto a bambini di età inferiore ai 36 mesi</w:t>
            </w:r>
            <w:r>
              <w:t>”</w:t>
            </w:r>
          </w:p>
          <w:p w:rsidR="005900CE" w:rsidRDefault="00A30EF1" w:rsidP="00695FC3">
            <w:pPr>
              <w:pStyle w:val="Paragrafoelenco"/>
              <w:numPr>
                <w:ilvl w:val="1"/>
                <w:numId w:val="21"/>
              </w:numPr>
              <w:jc w:val="both"/>
            </w:pPr>
            <w:r>
              <w:t>dicitura “</w:t>
            </w:r>
            <w:r w:rsidRPr="001A76D5">
              <w:rPr>
                <w:i/>
              </w:rPr>
              <w:t>Attenzione. Non adatto a bambini di età inferiore ai 3 anni</w:t>
            </w:r>
            <w:r>
              <w:t>”</w:t>
            </w:r>
          </w:p>
          <w:p w:rsidR="005900CE" w:rsidRDefault="005900CE" w:rsidP="005900CE">
            <w:pPr>
              <w:pStyle w:val="Paragrafoelenco"/>
              <w:jc w:val="both"/>
            </w:pPr>
          </w:p>
          <w:p w:rsidR="00AE442C" w:rsidRDefault="005900CE" w:rsidP="005900CE">
            <w:pPr>
              <w:pStyle w:val="Paragrafoelenco"/>
              <w:jc w:val="both"/>
            </w:pPr>
            <w:r>
              <w:t xml:space="preserve">in tutti </w:t>
            </w:r>
            <w:r w:rsidR="002607E3">
              <w:t xml:space="preserve">e tre </w:t>
            </w:r>
            <w:r>
              <w:t xml:space="preserve">i casi le avvertenze devono essere accompagnate </w:t>
            </w:r>
            <w:r w:rsidR="002607E3">
              <w:t>da una breve descrizione del pericolo specifico;</w:t>
            </w:r>
          </w:p>
          <w:p w:rsidR="006112A9" w:rsidRDefault="00182498" w:rsidP="00182498">
            <w:pPr>
              <w:jc w:val="both"/>
            </w:pPr>
            <w:r w:rsidRPr="00182498">
              <w:rPr>
                <w:b/>
              </w:rPr>
              <w:t>Nota</w:t>
            </w:r>
            <w:r>
              <w:t>: d</w:t>
            </w:r>
            <w:r w:rsidR="006112A9">
              <w:t xml:space="preserve">a considerare comunque che </w:t>
            </w:r>
            <w:r w:rsidR="00604EE5">
              <w:t>solitamente le biciclette giocattolo sono destinate a bambini di età inferiore</w:t>
            </w:r>
            <w:r w:rsidR="003D2C7B">
              <w:t xml:space="preserve"> ai 36 mesi (</w:t>
            </w:r>
            <w:r w:rsidR="00604EE5">
              <w:t xml:space="preserve">dai 2 anni in su) </w:t>
            </w:r>
            <w:r w:rsidR="003D2C7B">
              <w:t>quindi se presente il pittogramma o l’avvertenza relativa all’età devono risultare eviden</w:t>
            </w:r>
            <w:r w:rsidR="00A66AFC">
              <w:t>ti i motivi di tali limitazioni, eventualmente connesse alla struttura o progettazione della bicicletta.</w:t>
            </w:r>
            <w:r w:rsidR="003D2C7B">
              <w:t xml:space="preserve"> </w:t>
            </w:r>
          </w:p>
          <w:p w:rsidR="000A01B1" w:rsidRDefault="000A01B1" w:rsidP="00695FC3">
            <w:pPr>
              <w:jc w:val="both"/>
              <w:rPr>
                <w:u w:val="single"/>
              </w:rPr>
            </w:pPr>
          </w:p>
          <w:p w:rsidR="00695FC3" w:rsidRPr="00FA0799" w:rsidRDefault="00695FC3" w:rsidP="00695FC3">
            <w:pPr>
              <w:jc w:val="both"/>
              <w:rPr>
                <w:u w:val="single"/>
              </w:rPr>
            </w:pPr>
            <w:r w:rsidRPr="00FA0799">
              <w:rPr>
                <w:u w:val="single"/>
              </w:rPr>
              <w:t>ISTRUZIONI IN LINGUA ITALIANA</w:t>
            </w:r>
          </w:p>
          <w:p w:rsidR="00695FC3" w:rsidRDefault="00695FC3" w:rsidP="00695FC3">
            <w:pPr>
              <w:jc w:val="both"/>
            </w:pPr>
          </w:p>
          <w:p w:rsidR="00494711" w:rsidRDefault="00695FC3" w:rsidP="00644E2C">
            <w:pPr>
              <w:jc w:val="both"/>
              <w:rPr>
                <w:b/>
              </w:rPr>
            </w:pPr>
            <w:r>
              <w:t>La norma im</w:t>
            </w:r>
            <w:r w:rsidR="006D500D">
              <w:t xml:space="preserve">pone che ogni </w:t>
            </w:r>
            <w:r w:rsidR="006650C4">
              <w:t>giocatolo</w:t>
            </w:r>
            <w:r>
              <w:t xml:space="preserve"> sia accompagnato da istruzioni e </w:t>
            </w:r>
            <w:r w:rsidR="000A6908">
              <w:t>informazioni sulla sicurezza scritte nella lingua ufficiale del paese nel quale il prodotto viene venduto; conseguentemente per i prodotti distribuiti in Italia deve essere almeno presente la lingua italiana. Poiché solitamente le istruzioni sono inserite all’interno delle confezioni</w:t>
            </w:r>
            <w:r w:rsidR="006D500D">
              <w:t xml:space="preserve"> </w:t>
            </w:r>
            <w:r w:rsidR="000A6908" w:rsidRPr="00D95470">
              <w:rPr>
                <w:b/>
              </w:rPr>
              <w:t>È NECESSARIO CHE IL DISTRIBUTORE SI ACCERTI DELLA PRESENZA DELLE ISTRUZIONI IN LINGUA ITALIANA APRENDO ALMENO UNA CONFEZIONE</w:t>
            </w:r>
          </w:p>
          <w:p w:rsidR="006D500D" w:rsidRDefault="006D500D" w:rsidP="00624ECA">
            <w:pPr>
              <w:shd w:val="clear" w:color="auto" w:fill="FFFFFF"/>
            </w:pPr>
          </w:p>
          <w:p w:rsidR="00443E3E" w:rsidRDefault="00443E3E" w:rsidP="00443E3E">
            <w:pPr>
              <w:shd w:val="clear" w:color="auto" w:fill="FFFFFF"/>
            </w:pPr>
            <w:r>
              <w:t>Le</w:t>
            </w:r>
            <w:r w:rsidRPr="00AC6EDC">
              <w:t xml:space="preserve"> istruzioni </w:t>
            </w:r>
            <w:r>
              <w:t xml:space="preserve">sulla sicurezza </w:t>
            </w:r>
            <w:r w:rsidRPr="001E733C">
              <w:t xml:space="preserve">devono </w:t>
            </w:r>
            <w:r>
              <w:t>indicare:</w:t>
            </w: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443E3E" w:rsidRDefault="00443E3E" w:rsidP="00443E3E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gli estremi completi del fabbricante e dell’importatore (nome o marchio e indirizzo);</w:t>
            </w:r>
          </w:p>
          <w:p w:rsidR="00443E3E" w:rsidRDefault="00443E3E" w:rsidP="00443E3E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codice identificativo del prodotto;</w:t>
            </w:r>
          </w:p>
          <w:p w:rsidR="000A01B1" w:rsidRDefault="00EB3D9D" w:rsidP="00443E3E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 xml:space="preserve">l’indicazione delle avvertenze </w:t>
            </w:r>
            <w:r w:rsidR="006F0BA4">
              <w:t xml:space="preserve">di sicurezza </w:t>
            </w:r>
            <w:r>
              <w:t>e delle informazioni relative all’attribuzione delle fasce di età</w:t>
            </w:r>
            <w:r w:rsidR="001A2D7E">
              <w:t xml:space="preserve"> e le limitazioni d’uso</w:t>
            </w:r>
            <w:r>
              <w:t>;</w:t>
            </w:r>
          </w:p>
          <w:p w:rsidR="00A23F14" w:rsidRDefault="00A23F14" w:rsidP="00443E3E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la dicitura “</w:t>
            </w:r>
            <w:r w:rsidRPr="00A23F14">
              <w:rPr>
                <w:i/>
              </w:rPr>
              <w:t>Avvertenza. Dovrebbero essere indossati dispositivi di protezione. Non utilizzare nel traffico</w:t>
            </w:r>
            <w:r>
              <w:t>”</w:t>
            </w:r>
          </w:p>
          <w:p w:rsidR="00A23F14" w:rsidRDefault="00A23F14" w:rsidP="00443E3E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l’indicazione dei dispositivi di protezione raccomandati;</w:t>
            </w:r>
          </w:p>
          <w:p w:rsidR="000F021D" w:rsidRDefault="006F0BA4" w:rsidP="001A2D7E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istruzioni per l’eventuale montaggio (se applicabile);</w:t>
            </w:r>
          </w:p>
          <w:p w:rsidR="00A23F14" w:rsidRDefault="00A23F14" w:rsidP="001A2D7E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istruzioni specifiche sul funzionamento del sistema di frenatura (se presente)</w:t>
            </w:r>
            <w:r w:rsidR="00C646B9">
              <w:t>;</w:t>
            </w:r>
          </w:p>
          <w:p w:rsidR="00A666AD" w:rsidRDefault="00A666AD" w:rsidP="00A666AD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spacing w:after="200" w:line="276" w:lineRule="auto"/>
              <w:jc w:val="both"/>
            </w:pPr>
            <w:r>
              <w:t>ove la bicicletta si priva di sistema di frenatura la dicitura “</w:t>
            </w:r>
            <w:r w:rsidRPr="00A666AD">
              <w:rPr>
                <w:i/>
              </w:rPr>
              <w:t>Avvertenza. Questo giocattolo non è dotato di freni</w:t>
            </w:r>
            <w:r>
              <w:t>”</w:t>
            </w:r>
          </w:p>
          <w:p w:rsidR="00C646B9" w:rsidRDefault="00C646B9" w:rsidP="00C646B9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spacing w:after="200" w:line="276" w:lineRule="auto"/>
              <w:jc w:val="both"/>
            </w:pPr>
            <w:r>
              <w:t>un promemoria che ricordi che il giocattolo, poiché richiede abilità</w:t>
            </w:r>
            <w:r w:rsidR="00A66AFC">
              <w:t>,</w:t>
            </w:r>
            <w:r>
              <w:t xml:space="preserve"> deve essere utilizzato con prudenza al fine di evitare cadute o collisioni tali da procurare lesioni all’utilizzatore o a terzi;</w:t>
            </w:r>
          </w:p>
          <w:p w:rsidR="006F0BA4" w:rsidRDefault="006F0BA4" w:rsidP="006F0BA4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istruzioni e avvertenze relative la manutenzione, pulizia e conservazione del prodotto</w:t>
            </w:r>
            <w:r w:rsidR="00A23F14">
              <w:t>;</w:t>
            </w:r>
          </w:p>
          <w:p w:rsidR="001A2D7E" w:rsidRPr="007E68B4" w:rsidRDefault="001A2D7E" w:rsidP="00C646B9">
            <w:pPr>
              <w:pStyle w:val="Paragrafoelenco"/>
              <w:shd w:val="clear" w:color="auto" w:fill="FFFFFF"/>
              <w:jc w:val="both"/>
            </w:pPr>
          </w:p>
        </w:tc>
      </w:tr>
      <w:tr w:rsidR="00802B0F" w:rsidTr="004D219C">
        <w:tc>
          <w:tcPr>
            <w:tcW w:w="1188" w:type="pct"/>
            <w:shd w:val="clear" w:color="auto" w:fill="auto"/>
          </w:tcPr>
          <w:p w:rsidR="00802B0F" w:rsidRDefault="000A6908" w:rsidP="00CF4B55">
            <w:pPr>
              <w:jc w:val="both"/>
            </w:pPr>
            <w:r>
              <w:lastRenderedPageBreak/>
              <w:t>ULTERIORI CONTROLLI VISIVI</w:t>
            </w:r>
            <w:r w:rsidR="00D15188">
              <w:t xml:space="preserve"> E ADEMPIMENTI</w:t>
            </w:r>
          </w:p>
          <w:p w:rsidR="00802B0F" w:rsidRDefault="00802B0F" w:rsidP="00360B05">
            <w:pPr>
              <w:jc w:val="both"/>
            </w:pPr>
            <w:r>
              <w:t>Quando il distributore “ritiene o ha motivo di ritenere che non sia rispettata la conformità”, deve assicurarsi che venga posto rimedio.</w:t>
            </w:r>
          </w:p>
        </w:tc>
        <w:tc>
          <w:tcPr>
            <w:tcW w:w="3812" w:type="pct"/>
            <w:shd w:val="clear" w:color="auto" w:fill="auto"/>
          </w:tcPr>
          <w:p w:rsidR="004D219C" w:rsidRPr="00AE503E" w:rsidRDefault="004D219C" w:rsidP="00B60B69">
            <w:pPr>
              <w:spacing w:after="60"/>
              <w:jc w:val="both"/>
              <w:rPr>
                <w:u w:val="single"/>
              </w:rPr>
            </w:pPr>
            <w:r w:rsidRPr="00AE503E">
              <w:rPr>
                <w:u w:val="single"/>
              </w:rPr>
              <w:t>CONSERVAZIONE DEI PRODOTTI</w:t>
            </w:r>
          </w:p>
          <w:p w:rsidR="004D219C" w:rsidRPr="00D95470" w:rsidRDefault="004D219C" w:rsidP="00BB1C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219C">
              <w:t>I distributori garantiscono ch</w:t>
            </w:r>
            <w:r w:rsidR="0031172D">
              <w:t xml:space="preserve">e, mentre un prodotto è </w:t>
            </w:r>
            <w:r>
              <w:t>sotto la loro responsabilità</w:t>
            </w:r>
            <w:r w:rsidR="0031172D">
              <w:t>, le</w:t>
            </w:r>
            <w:r w:rsidRPr="004D219C">
              <w:t xml:space="preserve"> condizioni di</w:t>
            </w:r>
            <w:r>
              <w:t xml:space="preserve"> </w:t>
            </w:r>
            <w:r w:rsidRPr="004D219C">
              <w:t>immagazzinamento o di trasporto non mettono a rischio la sua</w:t>
            </w:r>
            <w:r>
              <w:t xml:space="preserve"> conformità </w:t>
            </w:r>
            <w:r w:rsidRPr="004D219C">
              <w:t>agli obiettivi di sicurezza</w:t>
            </w:r>
            <w:r>
              <w:t xml:space="preserve">. Umidità, polvere, escursioni termiche (compresa l’esposizione al sole) o </w:t>
            </w:r>
            <w:r w:rsidR="009E3DB2">
              <w:t>pesi</w:t>
            </w:r>
            <w:r w:rsidR="00AF7C2C">
              <w:t xml:space="preserve"> eccessivi </w:t>
            </w:r>
            <w:r w:rsidR="009E3DB2">
              <w:t>caricati sui</w:t>
            </w:r>
            <w:r w:rsidR="00AF7C2C">
              <w:t xml:space="preserve"> prodotti ne determinano un deterioramento che condiziona la conformità dei prodotti alla sicurezza ad ess</w:t>
            </w:r>
            <w:r w:rsidR="009E3DB2">
              <w:t>i</w:t>
            </w:r>
            <w:r w:rsidR="00AF7C2C">
              <w:t xml:space="preserve"> richiesta; la mancata conformità ascrivibile alle cattive condizioni di conservazione diventa imputabile al distributore</w:t>
            </w:r>
            <w:r w:rsidR="00856AE1">
              <w:t xml:space="preserve"> ove non sia dimostrabile </w:t>
            </w:r>
            <w:r w:rsidR="0031172D">
              <w:t>che dipende</w:t>
            </w:r>
            <w:r w:rsidR="00856AE1">
              <w:t xml:space="preserve"> da altri soggetti</w:t>
            </w:r>
            <w:r w:rsidR="009E3DB2">
              <w:t xml:space="preserve">; </w:t>
            </w:r>
            <w:r w:rsidR="00AF7C2C">
              <w:t xml:space="preserve">pertanto </w:t>
            </w:r>
            <w:r w:rsidR="00AF7C2C" w:rsidRPr="00D95470">
              <w:rPr>
                <w:b/>
              </w:rPr>
              <w:t xml:space="preserve">È NECESSARIO CHE IL DISTRIBUTORE </w:t>
            </w:r>
            <w:r w:rsidR="00856AE1" w:rsidRPr="00D95470">
              <w:rPr>
                <w:b/>
              </w:rPr>
              <w:t>SI ACCERTI DE</w:t>
            </w:r>
            <w:r w:rsidR="001C1ECA" w:rsidRPr="00D95470">
              <w:rPr>
                <w:b/>
              </w:rPr>
              <w:t xml:space="preserve">LL’INTEGRITA’ DELLE CONFEZIONI E </w:t>
            </w:r>
            <w:r w:rsidR="00856AE1" w:rsidRPr="00D95470">
              <w:rPr>
                <w:b/>
              </w:rPr>
              <w:t>DELLA MANCANZA DI SEGNI DI UMIDITA’ O SCOLORIMENTO DELLE STESSE</w:t>
            </w:r>
            <w:r w:rsidR="0031172D">
              <w:rPr>
                <w:b/>
              </w:rPr>
              <w:t xml:space="preserve"> O DIRETTAMENTE DEL PRODOTTO.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856AE1" w:rsidRPr="00AE503E" w:rsidRDefault="00856AE1" w:rsidP="004D219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E503E">
              <w:rPr>
                <w:u w:val="single"/>
              </w:rPr>
              <w:t>CONTROLLI VISIVI ULTERIORI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B60B69" w:rsidRPr="004D219C" w:rsidRDefault="00FA0799" w:rsidP="00B60B69">
            <w:pPr>
              <w:spacing w:after="60"/>
              <w:jc w:val="both"/>
            </w:pPr>
            <w:r w:rsidRPr="004D219C">
              <w:t>Sulla base di quanto previsto per i controlli visivi obbligatori è necessario che il distributore apra almeno una confezione per o</w:t>
            </w:r>
            <w:r w:rsidR="00AF3C65">
              <w:t xml:space="preserve">gni </w:t>
            </w:r>
            <w:r w:rsidR="00381113">
              <w:lastRenderedPageBreak/>
              <w:t>prodotto</w:t>
            </w:r>
            <w:r w:rsidRPr="004D219C">
              <w:t xml:space="preserve"> che pone in vendita e potrebbe essere opportuno registrare su una </w:t>
            </w:r>
            <w:proofErr w:type="spellStart"/>
            <w:r w:rsidRPr="004D219C">
              <w:t>check</w:t>
            </w:r>
            <w:proofErr w:type="spellEnd"/>
            <w:r w:rsidRPr="004D219C">
              <w:t xml:space="preserve"> list (vedi fac-simile in allegato alla scheda) i risultati </w:t>
            </w:r>
            <w:r w:rsidR="00856AE1">
              <w:t>di tale</w:t>
            </w:r>
            <w:r w:rsidR="00D15188" w:rsidRPr="004D219C">
              <w:t xml:space="preserve"> controllo, in modo da poterli</w:t>
            </w:r>
            <w:r w:rsidRPr="004D219C">
              <w:t xml:space="preserve"> opporre</w:t>
            </w:r>
            <w:r w:rsidR="00D15188" w:rsidRPr="004D219C">
              <w:t>,</w:t>
            </w:r>
            <w:r w:rsidRPr="004D219C">
              <w:t xml:space="preserve"> in caso di eventuali contestazioni</w:t>
            </w:r>
            <w:r w:rsidR="00D15188" w:rsidRPr="004D219C">
              <w:t xml:space="preserve">, </w:t>
            </w:r>
            <w:r w:rsidRPr="004D219C">
              <w:t>dimostrando così il proprio operato in aderenza alla norma.</w:t>
            </w:r>
          </w:p>
          <w:p w:rsidR="00856AE1" w:rsidRDefault="00856AE1" w:rsidP="00B60B69">
            <w:pPr>
              <w:spacing w:after="60"/>
              <w:jc w:val="both"/>
            </w:pPr>
            <w:r>
              <w:t>Ove l’esito dei controlli visivi obbligatori</w:t>
            </w:r>
            <w:r w:rsidR="00FA1C99">
              <w:t xml:space="preserve"> sia positivo è opportuno che</w:t>
            </w:r>
            <w:r w:rsidR="00BC05E8">
              <w:t xml:space="preserve"> comunque</w:t>
            </w:r>
            <w:r w:rsidR="00FA1C99">
              <w:t xml:space="preserve"> il distributore valuti i seguenti aspetti:</w:t>
            </w:r>
          </w:p>
          <w:p w:rsidR="00FA1C99" w:rsidRDefault="00FA1C99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>RAGIONEVOLE QUALITÀ DEI M</w:t>
            </w:r>
            <w:r w:rsidR="002C7C57">
              <w:t xml:space="preserve">ATERIALI: </w:t>
            </w:r>
            <w:r w:rsidR="00C646B9">
              <w:t>le biciclette giocattolo</w:t>
            </w:r>
            <w:r w:rsidR="00182498">
              <w:t xml:space="preserve"> </w:t>
            </w:r>
            <w:r w:rsidR="0027717B">
              <w:t>(solitamente adatte</w:t>
            </w:r>
            <w:r w:rsidR="00182498">
              <w:t xml:space="preserve"> a bambini di età inferiore ai 36 mesi</w:t>
            </w:r>
            <w:r w:rsidR="0027717B">
              <w:t>)</w:t>
            </w:r>
            <w:r w:rsidR="00813EC0">
              <w:t xml:space="preserve"> </w:t>
            </w:r>
            <w:r w:rsidR="0027717B">
              <w:t>devono essere prive</w:t>
            </w:r>
            <w:r w:rsidR="00E4255D">
              <w:t xml:space="preserve"> di</w:t>
            </w:r>
            <w:r w:rsidR="00AB5354">
              <w:t>:</w:t>
            </w:r>
            <w:r w:rsidR="00E4255D">
              <w:t xml:space="preserve"> bordi taglienti, punte e parti sporgenti in grado di arrecare danno all’utilizzatore</w:t>
            </w:r>
            <w:r w:rsidR="00D71BC2">
              <w:t xml:space="preserve"> (il manubrio deve presentare alle estremità parti morbide che riducano il rischio di perforazione)</w:t>
            </w:r>
            <w:r w:rsidR="002C7C57">
              <w:t>,</w:t>
            </w:r>
            <w:r w:rsidR="00BB66A2">
              <w:t xml:space="preserve"> </w:t>
            </w:r>
            <w:r w:rsidR="00813EC0">
              <w:t>scuciture</w:t>
            </w:r>
            <w:r w:rsidR="0027717B">
              <w:t>,</w:t>
            </w:r>
            <w:r w:rsidR="00813EC0">
              <w:t xml:space="preserve"> </w:t>
            </w:r>
            <w:r w:rsidR="002C7C57">
              <w:t>alterazioni del colore</w:t>
            </w:r>
            <w:r w:rsidR="00A666AD">
              <w:t>, ruggine</w:t>
            </w:r>
            <w:r w:rsidR="00D22EB0">
              <w:t>, saldature grossolane</w:t>
            </w:r>
            <w:r w:rsidR="002C7C57">
              <w:t xml:space="preserve"> e simili difetti</w:t>
            </w:r>
            <w:r w:rsidR="00A666AD">
              <w:t xml:space="preserve">, </w:t>
            </w:r>
            <w:r w:rsidR="00AB5354">
              <w:t>nonché essere prive</w:t>
            </w:r>
            <w:r w:rsidR="00813EC0">
              <w:t xml:space="preserve"> di accessori rimovibili </w:t>
            </w:r>
            <w:r w:rsidR="0027717B">
              <w:t>rientranti nelle piccole parti</w:t>
            </w:r>
            <w:r w:rsidR="00E4255D">
              <w:t xml:space="preserve">. La presenza </w:t>
            </w:r>
            <w:r w:rsidR="000B04A0">
              <w:t xml:space="preserve">dei difetti suddetti </w:t>
            </w:r>
            <w:r w:rsidR="00E4255D">
              <w:t xml:space="preserve">è da individuare </w:t>
            </w:r>
            <w:r w:rsidR="002C7C57">
              <w:t>come una non conformità del prodotto di cui deve essere impedita la commercializzazione.</w:t>
            </w:r>
          </w:p>
          <w:p w:rsidR="00AB5354" w:rsidRDefault="00AB5354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REQUISITI TECNICI SPECIFICI: Le biciclette a ruote libere, dotate di sistema di frenatura devono presentare due sistemi di frenatura indipendenti, uno per la ruota posteriore e uno per quella anteriore. Non devono essere presenti spazi tra le ruote e il corpo, o parti del corpo della bicicletta comprese tra i 5 e i 12 mm che possano creare rischi di lesioni alle dita del bambino </w:t>
            </w:r>
            <w:r w:rsidR="00000AC8">
              <w:t xml:space="preserve">(ad </w:t>
            </w:r>
            <w:r w:rsidR="00000AC8">
              <w:t xml:space="preserve">esempio tra ruote e parafanghi). Le catene e le cinghie delle trasmissioni devono essere dotate di una protezione che va dalla ruota motrice (includendola) alla ruota condotta, su tutti i lati più prossimi agli arti del bambino. I tubi reggi sella e di regolazione del manubrio devono riportare un marchio permanente relativo alla </w:t>
            </w:r>
            <w:r w:rsidR="00DF19F8">
              <w:t>minima profondità di inserimento della parte nel telaio.</w:t>
            </w:r>
          </w:p>
          <w:p w:rsidR="00BC05E8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ASPETTO GRAFICO DELLA MARCATURA CE: </w:t>
            </w:r>
            <w:r w:rsidR="004D1159">
              <w:t xml:space="preserve">spesso, quando la marcatura CE viene apposta in assenza dei dovuti controlli da parte del fabbricante risulta graficamente non conforme o apposta in maniera facilmente rimovibile. Il distributore è tenuto </w:t>
            </w:r>
            <w:r w:rsidR="009C3FFC">
              <w:t xml:space="preserve">dunque </w:t>
            </w:r>
            <w:r w:rsidR="004D1159">
              <w:t xml:space="preserve">a valutare che </w:t>
            </w:r>
            <w:r w:rsidR="009C3FFC">
              <w:t>siano rispettate le proporzioni seguenti , senza cioè palesi deformazioni</w:t>
            </w:r>
            <w:r w:rsidR="00236C55">
              <w:t xml:space="preserve"> </w:t>
            </w:r>
            <w:r w:rsidR="009C3FFC">
              <w:t>(ad esempio C ed E molto ravvicinati o allungati) e che il marchio</w:t>
            </w:r>
            <w:r w:rsidR="004D1159">
              <w:t xml:space="preserve"> abbi</w:t>
            </w:r>
            <w:r w:rsidR="009C3FFC">
              <w:t>a una dimensione minima di 5 mm:</w:t>
            </w:r>
          </w:p>
          <w:p w:rsidR="009C3FFC" w:rsidRDefault="000E6D6E" w:rsidP="009C3FFC">
            <w:pPr>
              <w:pStyle w:val="Paragrafoelenco"/>
              <w:autoSpaceDE w:val="0"/>
              <w:autoSpaceDN w:val="0"/>
              <w:adjustRightInd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9984" behindDoc="0" locked="0" layoutInCell="1" allowOverlap="1" wp14:anchorId="7FE74F78" wp14:editId="67E0BB62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-4445</wp:posOffset>
                  </wp:positionV>
                  <wp:extent cx="1181100" cy="699135"/>
                  <wp:effectExtent l="0" t="0" r="0" b="5715"/>
                  <wp:wrapNone/>
                  <wp:docPr id="13" name="Immagine 13" descr="V:\Tutela Consumatore\MetrLegale\Statistiche Metrologia\ce-m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Tutela Consumatore\MetrLegale\Statistiche Metrologia\ce-m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F3630B" w:rsidRDefault="00F3630B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F3630B" w:rsidRDefault="00F3630B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E4255D" w:rsidRDefault="00F3630B" w:rsidP="002D6A65">
            <w:pPr>
              <w:pStyle w:val="Paragrafoelenco"/>
              <w:autoSpaceDE w:val="0"/>
              <w:autoSpaceDN w:val="0"/>
              <w:adjustRightInd w:val="0"/>
            </w:pPr>
            <w:r>
              <w:t>Si ricorda che non sono ammessi marchi CE applicati al prod</w:t>
            </w:r>
            <w:r w:rsidR="00E4255D">
              <w:t>otto mediante etichette adesive</w:t>
            </w:r>
          </w:p>
          <w:p w:rsidR="00B83E4F" w:rsidRDefault="00B83E4F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770DFD" w:rsidRDefault="008246D3" w:rsidP="00DF19F8">
            <w:pPr>
              <w:jc w:val="both"/>
            </w:pPr>
            <w:r>
              <w:t xml:space="preserve">SE UN PRODOTTO NON SUPERA IN MANIERA SODDISFACENTE TUTTI E </w:t>
            </w:r>
            <w:r w:rsidR="00DF19F8">
              <w:t>TRE</w:t>
            </w:r>
            <w:bookmarkStart w:id="0" w:name="_GoBack"/>
            <w:bookmarkEnd w:id="0"/>
            <w:r>
              <w:t xml:space="preserve"> I CONTROLLI PRECEDENTI</w:t>
            </w:r>
            <w:r w:rsidR="00494711">
              <w:t>,</w:t>
            </w:r>
            <w:r>
              <w:t xml:space="preserve"> E’ OPPORTUNO CHE </w:t>
            </w:r>
            <w:r w:rsidR="00494711">
              <w:t>IL</w:t>
            </w:r>
            <w:r>
              <w:t xml:space="preserve"> DISTRIBUTORE NON PROCEDA ALLA SUA MESSA IN VENDITA </w:t>
            </w:r>
            <w:r w:rsidR="00494711">
              <w:t>E CONTATTI SIA IL SUO FORNITORE CHE LA CAMERA DI COMMERCIO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lastRenderedPageBreak/>
              <w:t xml:space="preserve">Riferimenti alle norme comunitarie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9E612E" w:rsidRDefault="00297EA5" w:rsidP="00297EA5">
            <w:pPr>
              <w:jc w:val="both"/>
            </w:pPr>
            <w:r>
              <w:rPr>
                <w:b/>
              </w:rPr>
              <w:t>Direttiva</w:t>
            </w:r>
            <w:r w:rsidR="00BD7C49" w:rsidRPr="0049334B">
              <w:rPr>
                <w:b/>
              </w:rPr>
              <w:t xml:space="preserve"> </w:t>
            </w:r>
            <w:r>
              <w:rPr>
                <w:b/>
              </w:rPr>
              <w:t>2009/48/CE</w:t>
            </w:r>
            <w:r w:rsidR="00802B0F">
              <w:t xml:space="preserve"> </w:t>
            </w:r>
            <w:r w:rsidR="00802B0F" w:rsidRPr="009C3208">
              <w:t>(</w:t>
            </w:r>
            <w:r>
              <w:t>Sicurezza Giocattoli</w:t>
            </w:r>
            <w:r w:rsidR="00BD7C49">
              <w:t>)</w:t>
            </w:r>
          </w:p>
          <w:p w:rsidR="00447AF1" w:rsidRDefault="00447AF1" w:rsidP="00297EA5">
            <w:pPr>
              <w:jc w:val="both"/>
            </w:pPr>
            <w:r w:rsidRPr="00010385">
              <w:rPr>
                <w:b/>
              </w:rPr>
              <w:t>Regolamento (CE) n.1907/2006</w:t>
            </w:r>
            <w:r>
              <w:t xml:space="preserve"> (REACH)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Riferimenti alle norme nazionali applicabili</w:t>
            </w:r>
          </w:p>
        </w:tc>
        <w:tc>
          <w:tcPr>
            <w:tcW w:w="3812" w:type="pct"/>
          </w:tcPr>
          <w:p w:rsidR="002A4A4E" w:rsidRDefault="00802B0F" w:rsidP="00297EA5">
            <w:pPr>
              <w:jc w:val="both"/>
            </w:pPr>
            <w:r w:rsidRPr="0049334B">
              <w:rPr>
                <w:b/>
              </w:rPr>
              <w:t xml:space="preserve">Decreto Legislativo </w:t>
            </w:r>
            <w:r w:rsidR="00297EA5">
              <w:rPr>
                <w:b/>
              </w:rPr>
              <w:t>11 aprile 2011, n. 54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tecniche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447AF1" w:rsidRDefault="00447AF1" w:rsidP="00447AF1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>UNI EN 71-1:2018 “Sicurezza dei giocattoli – parte 1: Proprietà meccaniche e fisiche”</w:t>
            </w:r>
          </w:p>
          <w:p w:rsidR="00447AF1" w:rsidRDefault="00447AF1" w:rsidP="00447AF1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>UNI EN 71-2:2021 “Sicurezza dei giocattoli – parte 2: Infiammabilità”</w:t>
            </w:r>
          </w:p>
          <w:p w:rsidR="00447AF1" w:rsidRDefault="00447AF1" w:rsidP="00447AF1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UNI EN 71-3:2021 “Sicurezza dei giocattoli – parte 3: Migrazione di alcuni elementi”</w:t>
            </w:r>
          </w:p>
          <w:p w:rsidR="00F13245" w:rsidRPr="00447AF1" w:rsidRDefault="00447AF1" w:rsidP="00447AF1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UNI </w:t>
            </w:r>
            <w:r w:rsidRPr="00010385">
              <w:rPr>
                <w:b/>
              </w:rPr>
              <w:t>EN 71-12:2017 – “Sicurezza dei Giocattoli – N-</w:t>
            </w:r>
            <w:proofErr w:type="spellStart"/>
            <w:r w:rsidRPr="00010385">
              <w:rPr>
                <w:b/>
              </w:rPr>
              <w:t>Nitrosammine</w:t>
            </w:r>
            <w:proofErr w:type="spellEnd"/>
            <w:r w:rsidRPr="00010385">
              <w:rPr>
                <w:b/>
              </w:rPr>
              <w:t xml:space="preserve"> e sostanze N- </w:t>
            </w:r>
            <w:proofErr w:type="spellStart"/>
            <w:r w:rsidRPr="00010385">
              <w:rPr>
                <w:b/>
              </w:rPr>
              <w:t>Nitrosabili</w:t>
            </w:r>
            <w:proofErr w:type="spellEnd"/>
            <w:r w:rsidRPr="00010385">
              <w:rPr>
                <w:b/>
              </w:rPr>
              <w:t>”</w:t>
            </w: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>
              <w:t>Riferimento sito esplicativo</w:t>
            </w:r>
          </w:p>
        </w:tc>
        <w:tc>
          <w:tcPr>
            <w:tcW w:w="3812" w:type="pct"/>
          </w:tcPr>
          <w:p w:rsidR="00802B0F" w:rsidRDefault="00802B0F" w:rsidP="00CF4B55">
            <w:pPr>
              <w:ind w:left="35"/>
              <w:jc w:val="both"/>
              <w:rPr>
                <w:b/>
              </w:rPr>
            </w:pPr>
          </w:p>
          <w:p w:rsidR="00802B0F" w:rsidRDefault="00AB5354" w:rsidP="00CF4B55">
            <w:pPr>
              <w:ind w:left="35"/>
              <w:jc w:val="both"/>
              <w:rPr>
                <w:b/>
              </w:rPr>
            </w:pPr>
            <w:hyperlink r:id="rId14" w:history="1">
              <w:r w:rsidR="00802B0F" w:rsidRPr="00DE5149">
                <w:rPr>
                  <w:rStyle w:val="Collegamentoipertestuale"/>
                  <w:b/>
                </w:rPr>
                <w:t>https://europa.eu/youreurope/business/product-requirements/compliance/index_it.htm?pk_campaign=SDG&amp;pk_kwd=launch&amp;pk_source=sea&amp;pk_medium=search&amp;pk_content=compliance</w:t>
              </w:r>
            </w:hyperlink>
          </w:p>
          <w:p w:rsidR="00802B0F" w:rsidRPr="00933694" w:rsidRDefault="00802B0F" w:rsidP="00CF4B55">
            <w:pPr>
              <w:ind w:left="35"/>
              <w:jc w:val="both"/>
              <w:rPr>
                <w:b/>
              </w:rPr>
            </w:pP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  <w:r>
              <w:t>Sanzioni comminabili al distributore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>Poiché ai sensi dell’art.</w:t>
            </w:r>
            <w:r w:rsidR="00426CE6">
              <w:t xml:space="preserve"> </w:t>
            </w:r>
            <w:r w:rsidR="001F7EC2">
              <w:t>6</w:t>
            </w:r>
            <w:r>
              <w:t xml:space="preserve"> del </w:t>
            </w:r>
            <w:proofErr w:type="spellStart"/>
            <w:r w:rsidR="001F7EC2">
              <w:t>D.Lgs</w:t>
            </w:r>
            <w:proofErr w:type="spellEnd"/>
            <w:r w:rsidR="001F7EC2">
              <w:t xml:space="preserve"> 54/2011</w:t>
            </w:r>
            <w:r>
              <w:t xml:space="preserve"> i distributori prima di mettere </w:t>
            </w:r>
            <w:r w:rsidR="001F7EC2">
              <w:t>giocattoli</w:t>
            </w:r>
            <w:r>
              <w:t xml:space="preserve"> a disposizione</w:t>
            </w:r>
            <w:r w:rsidR="00933CD4">
              <w:t xml:space="preserve"> sul mercato assicurano che essi</w:t>
            </w:r>
            <w:r>
              <w:t>: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la marcatura CE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sia</w:t>
            </w:r>
            <w:r w:rsidR="00933CD4">
              <w:t>no accompagnati</w:t>
            </w:r>
            <w:r>
              <w:t xml:space="preserve"> dalla documentazione richiesta, nonché da istruzioni e informazioni sulla sicu</w:t>
            </w:r>
            <w:r w:rsidR="00494711">
              <w:t>rezza in lingua italiana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gli estremi del fabbricante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gli estremi dell’importatore (se applicabile)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un codice identificativo</w:t>
            </w:r>
          </w:p>
          <w:p w:rsidR="00802B0F" w:rsidRDefault="00802B0F" w:rsidP="00CF4B55">
            <w:pPr>
              <w:jc w:val="both"/>
            </w:pPr>
          </w:p>
          <w:p w:rsidR="00D526C4" w:rsidRDefault="00D526C4" w:rsidP="00D526C4">
            <w:pPr>
              <w:jc w:val="both"/>
            </w:pPr>
            <w:r>
              <w:t xml:space="preserve">il mancato rispetto degli obblighi precedenti da parte di un distributore è punito con una sanzione amministrativa pecuniaria da </w:t>
            </w:r>
            <w:r w:rsidR="003307B4" w:rsidRPr="003307B4">
              <w:rPr>
                <w:b/>
              </w:rPr>
              <w:t>1</w:t>
            </w:r>
            <w:r w:rsidR="0049334B">
              <w:rPr>
                <w:b/>
              </w:rPr>
              <w:t>.</w:t>
            </w:r>
            <w:r w:rsidR="002C2164">
              <w:rPr>
                <w:b/>
              </w:rPr>
              <w:t>500</w:t>
            </w:r>
            <w:r>
              <w:rPr>
                <w:b/>
              </w:rPr>
              <w:t xml:space="preserve"> € </w:t>
            </w:r>
            <w:r>
              <w:t>a</w:t>
            </w:r>
            <w:r>
              <w:rPr>
                <w:b/>
              </w:rPr>
              <w:t xml:space="preserve"> </w:t>
            </w:r>
            <w:r w:rsidR="002C2164">
              <w:rPr>
                <w:b/>
              </w:rPr>
              <w:t>10</w:t>
            </w:r>
            <w:r>
              <w:rPr>
                <w:b/>
              </w:rPr>
              <w:t>.000 €</w:t>
            </w:r>
            <w:r>
              <w:t xml:space="preserve"> (Art.</w:t>
            </w:r>
            <w:r w:rsidR="002C2164">
              <w:t xml:space="preserve">31.7 del </w:t>
            </w:r>
            <w:proofErr w:type="spellStart"/>
            <w:r w:rsidR="002C2164">
              <w:t>D.Lgs</w:t>
            </w:r>
            <w:proofErr w:type="spellEnd"/>
            <w:r w:rsidR="002C2164">
              <w:t xml:space="preserve"> 54/2011</w:t>
            </w:r>
            <w:r>
              <w:t>).</w:t>
            </w:r>
          </w:p>
          <w:p w:rsidR="00802B0F" w:rsidRDefault="00802B0F" w:rsidP="00CF4B55">
            <w:pPr>
              <w:jc w:val="both"/>
            </w:pPr>
          </w:p>
          <w:p w:rsidR="00802B0F" w:rsidRDefault="009E612E" w:rsidP="002C2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t>S</w:t>
            </w:r>
            <w:r w:rsidR="00802B0F">
              <w:t>alvo che il fatto costituisca reato, il distributore che effettua la messa a disposizione sul mercato di pr</w:t>
            </w:r>
            <w:r w:rsidR="003307B4">
              <w:t>odotti</w:t>
            </w:r>
            <w:r w:rsidR="00802B0F">
              <w:t xml:space="preserve"> in violazione di un provvedimento di divieto emesso dall’Autorità di vigilanza, è soggetto ad una sanzione amministrativa pecuniaria di una somma da </w:t>
            </w:r>
            <w:r w:rsidR="002C2164">
              <w:rPr>
                <w:b/>
              </w:rPr>
              <w:t>10.000</w:t>
            </w:r>
            <w:r w:rsidR="00802B0F" w:rsidRPr="00DA05AC">
              <w:rPr>
                <w:b/>
              </w:rPr>
              <w:t xml:space="preserve"> € </w:t>
            </w:r>
            <w:r w:rsidR="00802B0F" w:rsidRPr="00DA05AC">
              <w:t>a</w:t>
            </w:r>
            <w:r w:rsidR="00802B0F" w:rsidRPr="00DA05AC">
              <w:rPr>
                <w:b/>
              </w:rPr>
              <w:t xml:space="preserve"> </w:t>
            </w:r>
            <w:r w:rsidR="002C2164">
              <w:rPr>
                <w:b/>
              </w:rPr>
              <w:t>50</w:t>
            </w:r>
            <w:r w:rsidR="003307B4">
              <w:rPr>
                <w:b/>
              </w:rPr>
              <w:t>.000</w:t>
            </w:r>
            <w:r w:rsidR="00802B0F" w:rsidRPr="00DA05AC">
              <w:rPr>
                <w:b/>
              </w:rPr>
              <w:t xml:space="preserve"> € </w:t>
            </w:r>
            <w:r w:rsidR="003307B4">
              <w:t>(</w:t>
            </w:r>
            <w:r w:rsidR="002C2164">
              <w:t xml:space="preserve">Art.31.2 del </w:t>
            </w:r>
            <w:proofErr w:type="spellStart"/>
            <w:r w:rsidR="002C2164">
              <w:t>D.Lgs</w:t>
            </w:r>
            <w:proofErr w:type="spellEnd"/>
            <w:r w:rsidR="002C2164">
              <w:t xml:space="preserve"> 54/2011</w:t>
            </w:r>
            <w:r w:rsidR="0007490D">
              <w:t>)</w:t>
            </w:r>
            <w:r w:rsidR="0007490D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2C2164" w:rsidRDefault="002C2164" w:rsidP="003307B4">
            <w:pP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C2164" w:rsidRPr="002C2164" w:rsidRDefault="002C2164" w:rsidP="002C2164">
            <w:pPr>
              <w:jc w:val="both"/>
            </w:pPr>
            <w:r w:rsidRPr="002C2164">
              <w:t>Salvo che il fa</w:t>
            </w:r>
            <w:r>
              <w:t>tto costituisca reato</w:t>
            </w:r>
            <w:r w:rsidR="00F814E3">
              <w:t>,</w:t>
            </w:r>
            <w:r>
              <w:t xml:space="preserve"> il distributore che n</w:t>
            </w:r>
            <w:r w:rsidR="00F814E3">
              <w:t>on fornisce, su richiesta, all’A</w:t>
            </w:r>
            <w:r>
              <w:t>utorità di vigilanza, le informazioni relative agli operatori economici che gli hanno fornito un giocattolo</w:t>
            </w:r>
            <w:r w:rsidR="00F814E3">
              <w:t xml:space="preserve"> o non conserva tali dati per un periodo di almeno dieci anni dall’ultima fornitura è soggetto ad una sanzione da </w:t>
            </w:r>
            <w:r w:rsidR="00F814E3" w:rsidRPr="00F814E3">
              <w:rPr>
                <w:b/>
              </w:rPr>
              <w:t>2.500</w:t>
            </w:r>
            <w:r w:rsidR="00F814E3">
              <w:t xml:space="preserve"> </w:t>
            </w:r>
            <w:r w:rsidR="00F814E3" w:rsidRPr="00F814E3">
              <w:rPr>
                <w:b/>
              </w:rPr>
              <w:t>€</w:t>
            </w:r>
            <w:r w:rsidR="00F814E3">
              <w:t xml:space="preserve"> a </w:t>
            </w:r>
            <w:r w:rsidR="00F814E3" w:rsidRPr="00F814E3">
              <w:rPr>
                <w:b/>
              </w:rPr>
              <w:t>10.000 €</w:t>
            </w:r>
            <w:r w:rsidR="00F814E3">
              <w:t xml:space="preserve"> (art. 31.8 del </w:t>
            </w:r>
            <w:proofErr w:type="spellStart"/>
            <w:r w:rsidR="00F814E3">
              <w:t>D.Lgs.</w:t>
            </w:r>
            <w:proofErr w:type="spellEnd"/>
            <w:r w:rsidR="00F814E3">
              <w:t xml:space="preserve"> 54/2011)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F814E3">
            <w:pPr>
              <w:jc w:val="both"/>
            </w:pPr>
            <w:r w:rsidRPr="0058194D">
              <w:rPr>
                <w:b/>
              </w:rPr>
              <w:t>NOTA</w:t>
            </w:r>
            <w:r>
              <w:t xml:space="preserve">: un distributore </w:t>
            </w:r>
            <w:r w:rsidRPr="00467FC1">
              <w:rPr>
                <w:b/>
              </w:rPr>
              <w:t>è soggetto direttamente agli obblighi del fabbricante ed è ritenuto tale</w:t>
            </w:r>
            <w:r>
              <w:t xml:space="preserve"> ai fini del </w:t>
            </w:r>
            <w:proofErr w:type="spellStart"/>
            <w:r w:rsidR="00F814E3">
              <w:t>D.Lgs.</w:t>
            </w:r>
            <w:proofErr w:type="spellEnd"/>
            <w:r w:rsidR="00F814E3">
              <w:t xml:space="preserve"> 54/2011</w:t>
            </w:r>
            <w:r>
              <w:t xml:space="preserve">, nel caso in cui immetta sul mercato </w:t>
            </w:r>
            <w:r w:rsidR="00F814E3">
              <w:t>giocattoli</w:t>
            </w:r>
            <w:r>
              <w:t xml:space="preserve"> con il proprio nome o marchio commerciale, o modifichi suddetto materiale già immesso sul mercato in modo da poterne condizionare la conformità</w:t>
            </w:r>
          </w:p>
        </w:tc>
      </w:tr>
    </w:tbl>
    <w:p w:rsidR="00802B0F" w:rsidRDefault="00802B0F"/>
    <w:sectPr w:rsidR="00802B0F" w:rsidSect="00802B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C80"/>
    <w:multiLevelType w:val="hybridMultilevel"/>
    <w:tmpl w:val="ED381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2AD1"/>
    <w:multiLevelType w:val="hybridMultilevel"/>
    <w:tmpl w:val="B29A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34D1B"/>
    <w:multiLevelType w:val="hybridMultilevel"/>
    <w:tmpl w:val="78643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340B"/>
    <w:multiLevelType w:val="hybridMultilevel"/>
    <w:tmpl w:val="AB742B96"/>
    <w:lvl w:ilvl="0" w:tplc="0C7E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F78C1"/>
    <w:multiLevelType w:val="hybridMultilevel"/>
    <w:tmpl w:val="26668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E582C"/>
    <w:multiLevelType w:val="hybridMultilevel"/>
    <w:tmpl w:val="94F4E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D1008"/>
    <w:multiLevelType w:val="hybridMultilevel"/>
    <w:tmpl w:val="6F0A3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F5CCC"/>
    <w:multiLevelType w:val="hybridMultilevel"/>
    <w:tmpl w:val="77A0A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4360E"/>
    <w:multiLevelType w:val="hybridMultilevel"/>
    <w:tmpl w:val="D0E80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42247"/>
    <w:multiLevelType w:val="hybridMultilevel"/>
    <w:tmpl w:val="51326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A2630"/>
    <w:multiLevelType w:val="hybridMultilevel"/>
    <w:tmpl w:val="6D8CF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01746"/>
    <w:multiLevelType w:val="hybridMultilevel"/>
    <w:tmpl w:val="3984E98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DD40E92"/>
    <w:multiLevelType w:val="hybridMultilevel"/>
    <w:tmpl w:val="4B00C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B088A"/>
    <w:multiLevelType w:val="hybridMultilevel"/>
    <w:tmpl w:val="6A8AC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0094D"/>
    <w:multiLevelType w:val="hybridMultilevel"/>
    <w:tmpl w:val="E6D2C5F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FFB1A54"/>
    <w:multiLevelType w:val="hybridMultilevel"/>
    <w:tmpl w:val="944A8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70B42"/>
    <w:multiLevelType w:val="hybridMultilevel"/>
    <w:tmpl w:val="070CB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83AD4"/>
    <w:multiLevelType w:val="hybridMultilevel"/>
    <w:tmpl w:val="46D0F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13985"/>
    <w:multiLevelType w:val="hybridMultilevel"/>
    <w:tmpl w:val="E6B65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26EEB"/>
    <w:multiLevelType w:val="hybridMultilevel"/>
    <w:tmpl w:val="EECC8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F0FE4"/>
    <w:multiLevelType w:val="hybridMultilevel"/>
    <w:tmpl w:val="BD7A974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F3D59CD"/>
    <w:multiLevelType w:val="hybridMultilevel"/>
    <w:tmpl w:val="BB32F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C766D"/>
    <w:multiLevelType w:val="hybridMultilevel"/>
    <w:tmpl w:val="71FA1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9"/>
  </w:num>
  <w:num w:numId="4">
    <w:abstractNumId w:val="18"/>
  </w:num>
  <w:num w:numId="5">
    <w:abstractNumId w:val="1"/>
  </w:num>
  <w:num w:numId="6">
    <w:abstractNumId w:val="19"/>
  </w:num>
  <w:num w:numId="7">
    <w:abstractNumId w:val="14"/>
  </w:num>
  <w:num w:numId="8">
    <w:abstractNumId w:val="11"/>
  </w:num>
  <w:num w:numId="9">
    <w:abstractNumId w:val="20"/>
  </w:num>
  <w:num w:numId="10">
    <w:abstractNumId w:val="3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 w:numId="15">
    <w:abstractNumId w:val="12"/>
  </w:num>
  <w:num w:numId="16">
    <w:abstractNumId w:val="5"/>
  </w:num>
  <w:num w:numId="17">
    <w:abstractNumId w:val="2"/>
  </w:num>
  <w:num w:numId="18">
    <w:abstractNumId w:val="22"/>
  </w:num>
  <w:num w:numId="19">
    <w:abstractNumId w:val="8"/>
  </w:num>
  <w:num w:numId="20">
    <w:abstractNumId w:val="10"/>
  </w:num>
  <w:num w:numId="21">
    <w:abstractNumId w:val="17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F"/>
    <w:rsid w:val="00000AC8"/>
    <w:rsid w:val="00005C79"/>
    <w:rsid w:val="000259D6"/>
    <w:rsid w:val="000347F2"/>
    <w:rsid w:val="00046B05"/>
    <w:rsid w:val="00052AEA"/>
    <w:rsid w:val="00064BDA"/>
    <w:rsid w:val="000670D1"/>
    <w:rsid w:val="00067C49"/>
    <w:rsid w:val="0007490D"/>
    <w:rsid w:val="000759AA"/>
    <w:rsid w:val="00076459"/>
    <w:rsid w:val="000819FE"/>
    <w:rsid w:val="000A01B1"/>
    <w:rsid w:val="000A6908"/>
    <w:rsid w:val="000B04A0"/>
    <w:rsid w:val="000B2323"/>
    <w:rsid w:val="000B24F0"/>
    <w:rsid w:val="000E6D6E"/>
    <w:rsid w:val="000F021D"/>
    <w:rsid w:val="001118F3"/>
    <w:rsid w:val="0011493D"/>
    <w:rsid w:val="00115429"/>
    <w:rsid w:val="00122A0E"/>
    <w:rsid w:val="0012668B"/>
    <w:rsid w:val="00126C62"/>
    <w:rsid w:val="001605A5"/>
    <w:rsid w:val="00167FA6"/>
    <w:rsid w:val="00175BD5"/>
    <w:rsid w:val="00180B41"/>
    <w:rsid w:val="00182498"/>
    <w:rsid w:val="001A2D7E"/>
    <w:rsid w:val="001A76D5"/>
    <w:rsid w:val="001B710B"/>
    <w:rsid w:val="001C1ECA"/>
    <w:rsid w:val="001D0C2B"/>
    <w:rsid w:val="001D1854"/>
    <w:rsid w:val="001E733C"/>
    <w:rsid w:val="001F7EC2"/>
    <w:rsid w:val="00200CCB"/>
    <w:rsid w:val="00202B97"/>
    <w:rsid w:val="00213A07"/>
    <w:rsid w:val="002322AD"/>
    <w:rsid w:val="00236C55"/>
    <w:rsid w:val="002439B3"/>
    <w:rsid w:val="002607E3"/>
    <w:rsid w:val="002635EB"/>
    <w:rsid w:val="00272345"/>
    <w:rsid w:val="0027717B"/>
    <w:rsid w:val="002843ED"/>
    <w:rsid w:val="0029037C"/>
    <w:rsid w:val="00294A11"/>
    <w:rsid w:val="00297EA5"/>
    <w:rsid w:val="002A2C8E"/>
    <w:rsid w:val="002A4A4E"/>
    <w:rsid w:val="002B2230"/>
    <w:rsid w:val="002B7BA3"/>
    <w:rsid w:val="002C2164"/>
    <w:rsid w:val="002C7C57"/>
    <w:rsid w:val="002D150C"/>
    <w:rsid w:val="002D507D"/>
    <w:rsid w:val="002D6A65"/>
    <w:rsid w:val="002E6D5F"/>
    <w:rsid w:val="002F0BFA"/>
    <w:rsid w:val="00301C1C"/>
    <w:rsid w:val="003046FA"/>
    <w:rsid w:val="0031172D"/>
    <w:rsid w:val="003307B4"/>
    <w:rsid w:val="00331F6C"/>
    <w:rsid w:val="003507F5"/>
    <w:rsid w:val="003512D0"/>
    <w:rsid w:val="00360B05"/>
    <w:rsid w:val="0036107B"/>
    <w:rsid w:val="00366C8A"/>
    <w:rsid w:val="003728E3"/>
    <w:rsid w:val="00377B27"/>
    <w:rsid w:val="00381113"/>
    <w:rsid w:val="003A3BBF"/>
    <w:rsid w:val="003B1E06"/>
    <w:rsid w:val="003B48F5"/>
    <w:rsid w:val="003B6537"/>
    <w:rsid w:val="003C018F"/>
    <w:rsid w:val="003C6011"/>
    <w:rsid w:val="003C702E"/>
    <w:rsid w:val="003D2C7B"/>
    <w:rsid w:val="003D749F"/>
    <w:rsid w:val="003E6B76"/>
    <w:rsid w:val="003F70D5"/>
    <w:rsid w:val="0040230C"/>
    <w:rsid w:val="00402EE3"/>
    <w:rsid w:val="00417962"/>
    <w:rsid w:val="00422BF1"/>
    <w:rsid w:val="00426CE6"/>
    <w:rsid w:val="00442588"/>
    <w:rsid w:val="00443E3E"/>
    <w:rsid w:val="00447AF1"/>
    <w:rsid w:val="00456613"/>
    <w:rsid w:val="0046515B"/>
    <w:rsid w:val="00476001"/>
    <w:rsid w:val="0049334B"/>
    <w:rsid w:val="00494711"/>
    <w:rsid w:val="004A20A2"/>
    <w:rsid w:val="004A4960"/>
    <w:rsid w:val="004B4089"/>
    <w:rsid w:val="004B5DB3"/>
    <w:rsid w:val="004D1159"/>
    <w:rsid w:val="004D219C"/>
    <w:rsid w:val="00506D86"/>
    <w:rsid w:val="0052084E"/>
    <w:rsid w:val="00520D19"/>
    <w:rsid w:val="0054430E"/>
    <w:rsid w:val="005466E4"/>
    <w:rsid w:val="0055798B"/>
    <w:rsid w:val="00575E2E"/>
    <w:rsid w:val="00585A94"/>
    <w:rsid w:val="005900CE"/>
    <w:rsid w:val="005C1391"/>
    <w:rsid w:val="005E4424"/>
    <w:rsid w:val="005F3865"/>
    <w:rsid w:val="005F6EF7"/>
    <w:rsid w:val="00600ED0"/>
    <w:rsid w:val="00604EE5"/>
    <w:rsid w:val="006112A9"/>
    <w:rsid w:val="006234E9"/>
    <w:rsid w:val="00624ECA"/>
    <w:rsid w:val="006254B7"/>
    <w:rsid w:val="00644E2C"/>
    <w:rsid w:val="006650C4"/>
    <w:rsid w:val="00695593"/>
    <w:rsid w:val="00695FC3"/>
    <w:rsid w:val="006B49F5"/>
    <w:rsid w:val="006B5728"/>
    <w:rsid w:val="006C3FD4"/>
    <w:rsid w:val="006D500D"/>
    <w:rsid w:val="006F0BA4"/>
    <w:rsid w:val="00700C34"/>
    <w:rsid w:val="00701375"/>
    <w:rsid w:val="007032B6"/>
    <w:rsid w:val="007101B0"/>
    <w:rsid w:val="00710C8E"/>
    <w:rsid w:val="0071674E"/>
    <w:rsid w:val="0073588F"/>
    <w:rsid w:val="00743F9A"/>
    <w:rsid w:val="00744658"/>
    <w:rsid w:val="0075356D"/>
    <w:rsid w:val="00770DFD"/>
    <w:rsid w:val="00776B28"/>
    <w:rsid w:val="007804B2"/>
    <w:rsid w:val="00784AC8"/>
    <w:rsid w:val="007930F5"/>
    <w:rsid w:val="007B04E7"/>
    <w:rsid w:val="007C46A8"/>
    <w:rsid w:val="007D2794"/>
    <w:rsid w:val="007D5E32"/>
    <w:rsid w:val="007E1376"/>
    <w:rsid w:val="007E330D"/>
    <w:rsid w:val="007E68B4"/>
    <w:rsid w:val="00802B0F"/>
    <w:rsid w:val="00804649"/>
    <w:rsid w:val="008100A8"/>
    <w:rsid w:val="008110F4"/>
    <w:rsid w:val="00813EC0"/>
    <w:rsid w:val="008161AD"/>
    <w:rsid w:val="00817606"/>
    <w:rsid w:val="008246D3"/>
    <w:rsid w:val="00824B41"/>
    <w:rsid w:val="00827CF2"/>
    <w:rsid w:val="00830564"/>
    <w:rsid w:val="00831983"/>
    <w:rsid w:val="00856AE1"/>
    <w:rsid w:val="00861139"/>
    <w:rsid w:val="00864669"/>
    <w:rsid w:val="008746FA"/>
    <w:rsid w:val="008924FA"/>
    <w:rsid w:val="008A0296"/>
    <w:rsid w:val="008A4169"/>
    <w:rsid w:val="008E35DE"/>
    <w:rsid w:val="008E770E"/>
    <w:rsid w:val="008F5D39"/>
    <w:rsid w:val="00900300"/>
    <w:rsid w:val="00903CC0"/>
    <w:rsid w:val="009105A1"/>
    <w:rsid w:val="00910612"/>
    <w:rsid w:val="00914C83"/>
    <w:rsid w:val="00930BB0"/>
    <w:rsid w:val="00933C19"/>
    <w:rsid w:val="00933CD4"/>
    <w:rsid w:val="00941FEA"/>
    <w:rsid w:val="00964C0E"/>
    <w:rsid w:val="009704C7"/>
    <w:rsid w:val="009A0C5F"/>
    <w:rsid w:val="009A4E18"/>
    <w:rsid w:val="009C0A74"/>
    <w:rsid w:val="009C3FFC"/>
    <w:rsid w:val="009D6977"/>
    <w:rsid w:val="009E3DB2"/>
    <w:rsid w:val="009E612E"/>
    <w:rsid w:val="00A003D2"/>
    <w:rsid w:val="00A0693F"/>
    <w:rsid w:val="00A118F8"/>
    <w:rsid w:val="00A11DFE"/>
    <w:rsid w:val="00A130CD"/>
    <w:rsid w:val="00A23F14"/>
    <w:rsid w:val="00A2415D"/>
    <w:rsid w:val="00A26185"/>
    <w:rsid w:val="00A30EF1"/>
    <w:rsid w:val="00A31821"/>
    <w:rsid w:val="00A3713B"/>
    <w:rsid w:val="00A65C79"/>
    <w:rsid w:val="00A666AD"/>
    <w:rsid w:val="00A66AFC"/>
    <w:rsid w:val="00A6763E"/>
    <w:rsid w:val="00A72F8A"/>
    <w:rsid w:val="00A74863"/>
    <w:rsid w:val="00AA19ED"/>
    <w:rsid w:val="00AA425C"/>
    <w:rsid w:val="00AB5354"/>
    <w:rsid w:val="00AC31F4"/>
    <w:rsid w:val="00AC6EDC"/>
    <w:rsid w:val="00AD1ED3"/>
    <w:rsid w:val="00AD3295"/>
    <w:rsid w:val="00AD3FFC"/>
    <w:rsid w:val="00AE1AC2"/>
    <w:rsid w:val="00AE2422"/>
    <w:rsid w:val="00AE2566"/>
    <w:rsid w:val="00AE2AEC"/>
    <w:rsid w:val="00AE2EC5"/>
    <w:rsid w:val="00AE442C"/>
    <w:rsid w:val="00AE4E8E"/>
    <w:rsid w:val="00AE503E"/>
    <w:rsid w:val="00AF3C65"/>
    <w:rsid w:val="00AF714E"/>
    <w:rsid w:val="00AF7C2C"/>
    <w:rsid w:val="00B07042"/>
    <w:rsid w:val="00B11521"/>
    <w:rsid w:val="00B26C33"/>
    <w:rsid w:val="00B42ED4"/>
    <w:rsid w:val="00B46074"/>
    <w:rsid w:val="00B57585"/>
    <w:rsid w:val="00B60B69"/>
    <w:rsid w:val="00B63ABE"/>
    <w:rsid w:val="00B73B67"/>
    <w:rsid w:val="00B7640C"/>
    <w:rsid w:val="00B83E4F"/>
    <w:rsid w:val="00BA207C"/>
    <w:rsid w:val="00BA5289"/>
    <w:rsid w:val="00BB1C7B"/>
    <w:rsid w:val="00BB66A2"/>
    <w:rsid w:val="00BC05E8"/>
    <w:rsid w:val="00BD7C49"/>
    <w:rsid w:val="00BE7ED7"/>
    <w:rsid w:val="00C146BA"/>
    <w:rsid w:val="00C200E1"/>
    <w:rsid w:val="00C25C49"/>
    <w:rsid w:val="00C37B51"/>
    <w:rsid w:val="00C43E63"/>
    <w:rsid w:val="00C55A77"/>
    <w:rsid w:val="00C646B9"/>
    <w:rsid w:val="00C711BF"/>
    <w:rsid w:val="00C8149A"/>
    <w:rsid w:val="00C9636F"/>
    <w:rsid w:val="00CA4860"/>
    <w:rsid w:val="00CB0C52"/>
    <w:rsid w:val="00CB775D"/>
    <w:rsid w:val="00CC3FC4"/>
    <w:rsid w:val="00CE25C4"/>
    <w:rsid w:val="00CF4B55"/>
    <w:rsid w:val="00D014CD"/>
    <w:rsid w:val="00D116E8"/>
    <w:rsid w:val="00D14B4E"/>
    <w:rsid w:val="00D15188"/>
    <w:rsid w:val="00D22EB0"/>
    <w:rsid w:val="00D31113"/>
    <w:rsid w:val="00D526C4"/>
    <w:rsid w:val="00D62429"/>
    <w:rsid w:val="00D71BC2"/>
    <w:rsid w:val="00D814BC"/>
    <w:rsid w:val="00D8765B"/>
    <w:rsid w:val="00D95470"/>
    <w:rsid w:val="00DA4672"/>
    <w:rsid w:val="00DB1BC9"/>
    <w:rsid w:val="00DD287B"/>
    <w:rsid w:val="00DD54C6"/>
    <w:rsid w:val="00DE021D"/>
    <w:rsid w:val="00DE26D6"/>
    <w:rsid w:val="00DE3D31"/>
    <w:rsid w:val="00DF19F8"/>
    <w:rsid w:val="00DF260E"/>
    <w:rsid w:val="00E27451"/>
    <w:rsid w:val="00E37FBF"/>
    <w:rsid w:val="00E4255D"/>
    <w:rsid w:val="00E54A78"/>
    <w:rsid w:val="00E5774A"/>
    <w:rsid w:val="00E66D16"/>
    <w:rsid w:val="00E67762"/>
    <w:rsid w:val="00E8023F"/>
    <w:rsid w:val="00E95F11"/>
    <w:rsid w:val="00EB3D9D"/>
    <w:rsid w:val="00EC1BCF"/>
    <w:rsid w:val="00EC2B35"/>
    <w:rsid w:val="00EC2DA6"/>
    <w:rsid w:val="00EC3CC9"/>
    <w:rsid w:val="00ED0555"/>
    <w:rsid w:val="00ED6C3D"/>
    <w:rsid w:val="00EE1542"/>
    <w:rsid w:val="00F119B9"/>
    <w:rsid w:val="00F13245"/>
    <w:rsid w:val="00F148DA"/>
    <w:rsid w:val="00F2042A"/>
    <w:rsid w:val="00F2045D"/>
    <w:rsid w:val="00F3188C"/>
    <w:rsid w:val="00F332AD"/>
    <w:rsid w:val="00F3630B"/>
    <w:rsid w:val="00F44863"/>
    <w:rsid w:val="00F47E27"/>
    <w:rsid w:val="00F814E3"/>
    <w:rsid w:val="00F91517"/>
    <w:rsid w:val="00F937B9"/>
    <w:rsid w:val="00F945C1"/>
    <w:rsid w:val="00FA0799"/>
    <w:rsid w:val="00FA1C99"/>
    <w:rsid w:val="00FB48E2"/>
    <w:rsid w:val="00FC32A0"/>
    <w:rsid w:val="00F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europa.eu/youreurope/business/product-requirements/compliance/index_it.htm?pk_campaign=SDG&amp;pk_kwd=launch&amp;pk_source=sea&amp;pk_medium=search&amp;pk_content=complianc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8CAE-9751-47A4-B056-EDFB630E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Pampaloni</dc:creator>
  <cp:lastModifiedBy>Lorenzo Pampaloni</cp:lastModifiedBy>
  <cp:revision>11</cp:revision>
  <dcterms:created xsi:type="dcterms:W3CDTF">2023-02-22T07:42:00Z</dcterms:created>
  <dcterms:modified xsi:type="dcterms:W3CDTF">2023-02-22T13:26:00Z</dcterms:modified>
</cp:coreProperties>
</file>