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45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756"/>
        <w:gridCol w:w="12052"/>
      </w:tblGrid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INDICE</w:t>
            </w:r>
          </w:p>
        </w:tc>
        <w:tc>
          <w:tcPr>
            <w:tcW w:w="3812" w:type="pct"/>
          </w:tcPr>
          <w:p w:rsidR="00802B0F" w:rsidRPr="009C3208" w:rsidRDefault="00802B0F" w:rsidP="00CF4B55">
            <w:pPr>
              <w:jc w:val="both"/>
            </w:pPr>
            <w:r w:rsidRPr="009C3208">
              <w:t>INFORMAZIONI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Categoria di prodotto</w:t>
            </w:r>
          </w:p>
        </w:tc>
        <w:tc>
          <w:tcPr>
            <w:tcW w:w="3812" w:type="pct"/>
          </w:tcPr>
          <w:p w:rsidR="00802B0F" w:rsidRDefault="005F3865" w:rsidP="00CF4B55">
            <w:pPr>
              <w:jc w:val="both"/>
            </w:pPr>
            <w:r>
              <w:t>Giocattoli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Sottocategoria prodotto</w:t>
            </w:r>
          </w:p>
        </w:tc>
        <w:tc>
          <w:tcPr>
            <w:tcW w:w="3812" w:type="pct"/>
          </w:tcPr>
          <w:p w:rsidR="00802B0F" w:rsidRDefault="00C438AC" w:rsidP="007E330D">
            <w:pPr>
              <w:jc w:val="both"/>
            </w:pPr>
            <w:r>
              <w:t>Giocattoli a batteria non radiocomandati senza trasformatore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Immagine prodotto</w:t>
            </w:r>
          </w:p>
        </w:tc>
        <w:tc>
          <w:tcPr>
            <w:tcW w:w="3812" w:type="pct"/>
          </w:tcPr>
          <w:p w:rsidR="00802B0F" w:rsidRDefault="00CA2DC0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5407" behindDoc="0" locked="0" layoutInCell="1" allowOverlap="1" wp14:anchorId="673F2359" wp14:editId="7C3C0C42">
                  <wp:simplePos x="0" y="0"/>
                  <wp:positionH relativeFrom="column">
                    <wp:posOffset>1621790</wp:posOffset>
                  </wp:positionH>
                  <wp:positionV relativeFrom="paragraph">
                    <wp:posOffset>63500</wp:posOffset>
                  </wp:positionV>
                  <wp:extent cx="1185545" cy="1711960"/>
                  <wp:effectExtent l="0" t="0" r="0" b="254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545" cy="171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CA2DC0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20704" behindDoc="0" locked="0" layoutInCell="1" allowOverlap="1" wp14:anchorId="1EAEF8E3" wp14:editId="398EECDD">
                  <wp:simplePos x="0" y="0"/>
                  <wp:positionH relativeFrom="column">
                    <wp:posOffset>4039235</wp:posOffset>
                  </wp:positionH>
                  <wp:positionV relativeFrom="paragraph">
                    <wp:posOffset>16510</wp:posOffset>
                  </wp:positionV>
                  <wp:extent cx="1109980" cy="1306830"/>
                  <wp:effectExtent l="0" t="0" r="0" b="7620"/>
                  <wp:wrapNone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980" cy="130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C34F5D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16608" behindDoc="0" locked="0" layoutInCell="1" allowOverlap="1" wp14:anchorId="3BAA636B" wp14:editId="12B4DF1C">
                  <wp:simplePos x="0" y="0"/>
                  <wp:positionH relativeFrom="column">
                    <wp:posOffset>5234907</wp:posOffset>
                  </wp:positionH>
                  <wp:positionV relativeFrom="paragraph">
                    <wp:posOffset>79633</wp:posOffset>
                  </wp:positionV>
                  <wp:extent cx="1998222" cy="2018665"/>
                  <wp:effectExtent l="0" t="0" r="2540" b="635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222" cy="201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CA2DC0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10464" behindDoc="0" locked="0" layoutInCell="1" allowOverlap="1" wp14:anchorId="5B325979" wp14:editId="359F4C4D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62230</wp:posOffset>
                  </wp:positionV>
                  <wp:extent cx="1873885" cy="1586865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7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885" cy="158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24F0" w:rsidRDefault="00CA2DC0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4382" behindDoc="0" locked="0" layoutInCell="1" allowOverlap="1" wp14:anchorId="3B3EFB8B" wp14:editId="7A44C79A">
                  <wp:simplePos x="0" y="0"/>
                  <wp:positionH relativeFrom="column">
                    <wp:posOffset>19484</wp:posOffset>
                  </wp:positionH>
                  <wp:positionV relativeFrom="paragraph">
                    <wp:posOffset>4445</wp:posOffset>
                  </wp:positionV>
                  <wp:extent cx="2083435" cy="1548130"/>
                  <wp:effectExtent l="0" t="0" r="0" b="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4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3435" cy="154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24F0" w:rsidRDefault="000B24F0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0E6D6E" w:rsidRDefault="000E6D6E" w:rsidP="00CF4B55">
            <w:pPr>
              <w:jc w:val="both"/>
            </w:pP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9C3208" w:rsidRDefault="00802B0F" w:rsidP="00CF4B55">
            <w:pPr>
              <w:jc w:val="both"/>
            </w:pPr>
            <w:r>
              <w:t xml:space="preserve">Descrizione prodotto e </w:t>
            </w:r>
            <w:r w:rsidRPr="009C3208">
              <w:t>destinazione d’</w:t>
            </w:r>
            <w:r>
              <w:t>uso</w:t>
            </w: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Default="007E1376" w:rsidP="00C438AC">
            <w:pPr>
              <w:jc w:val="both"/>
            </w:pPr>
            <w:r>
              <w:t>Giocattolo</w:t>
            </w:r>
            <w:r w:rsidR="00C438AC">
              <w:t xml:space="preserve"> elettrico alimentato a batteria, privo di trasformatore non radiocomandato. Le batterie alimentano funzioni quali: luci, suoni, movimento.</w:t>
            </w: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672DC1" w:rsidRDefault="00802B0F" w:rsidP="00CF4B55">
            <w:pPr>
              <w:jc w:val="both"/>
              <w:rPr>
                <w:sz w:val="16"/>
                <w:szCs w:val="16"/>
              </w:rPr>
            </w:pPr>
          </w:p>
          <w:p w:rsidR="00802B0F" w:rsidRDefault="00802B0F" w:rsidP="00CF4B55">
            <w:pPr>
              <w:jc w:val="both"/>
            </w:pPr>
            <w:r>
              <w:t>Premessa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Pr="00672DC1" w:rsidRDefault="00802B0F" w:rsidP="00CF4B55">
            <w:pPr>
              <w:spacing w:after="60"/>
              <w:jc w:val="both"/>
              <w:rPr>
                <w:i/>
                <w:sz w:val="16"/>
                <w:szCs w:val="16"/>
              </w:rPr>
            </w:pPr>
          </w:p>
          <w:p w:rsidR="00802B0F" w:rsidRDefault="00802B0F" w:rsidP="00CF4B55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>Gli obblighi di garantire la conformità del prodotto gravano in via principale sul fabbricante e sull’importatore, tuttavia anche il distributore è chiamato a vigilare ed è</w:t>
            </w:r>
            <w:r w:rsidR="00A118F8">
              <w:rPr>
                <w:i/>
              </w:rPr>
              <w:t xml:space="preserve"> responsabile</w:t>
            </w:r>
            <w:r w:rsidR="00B60B69">
              <w:rPr>
                <w:i/>
              </w:rPr>
              <w:t xml:space="preserve"> (amministrativamente, civilmente o penalmente)</w:t>
            </w:r>
            <w:r w:rsidR="00A118F8">
              <w:rPr>
                <w:i/>
              </w:rPr>
              <w:t xml:space="preserve"> per la messa a disposizione sul mercato di prodotti non conformi.</w:t>
            </w:r>
          </w:p>
          <w:p w:rsidR="002B7BA3" w:rsidRPr="00816DC0" w:rsidRDefault="004A4960" w:rsidP="003D2C7B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 xml:space="preserve">E’ dunque importante </w:t>
            </w:r>
            <w:r w:rsidR="00B60B69">
              <w:rPr>
                <w:i/>
              </w:rPr>
              <w:t>essere consapevoli di quali obblighi competono in qualità di distributore (all’ingrosso o al dettaglio) e quali azioni possono essere intraprese per ottemperare a questi obblighi.</w:t>
            </w:r>
          </w:p>
        </w:tc>
      </w:tr>
      <w:tr w:rsidR="00802B0F" w:rsidTr="00360B05">
        <w:tc>
          <w:tcPr>
            <w:tcW w:w="1188" w:type="pct"/>
            <w:tcBorders>
              <w:bottom w:val="single" w:sz="4" w:space="0" w:color="auto"/>
            </w:tcBorders>
            <w:shd w:val="clear" w:color="auto" w:fill="FFFF00"/>
          </w:tcPr>
          <w:p w:rsidR="00046B05" w:rsidRDefault="00046B05" w:rsidP="00CF4B55">
            <w:pPr>
              <w:jc w:val="both"/>
            </w:pPr>
            <w:r>
              <w:t>CONTROLLI VISIVI</w:t>
            </w:r>
          </w:p>
          <w:p w:rsidR="00802B0F" w:rsidRDefault="00AE2422" w:rsidP="00CF4B55">
            <w:pPr>
              <w:jc w:val="both"/>
            </w:pPr>
            <w:r>
              <w:t>chi mette in vendita in I</w:t>
            </w:r>
            <w:r w:rsidR="00046B05">
              <w:t>talia deve controllare che ci siano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FFFF00"/>
          </w:tcPr>
          <w:p w:rsidR="00802B0F" w:rsidRDefault="002E6D5F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La marcatura</w:t>
            </w:r>
            <w:r w:rsidR="00360B05">
              <w:t xml:space="preserve"> CE </w:t>
            </w:r>
          </w:p>
          <w:p w:rsidR="00802B0F" w:rsidRDefault="00360B05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un codice di identificazione univoca del prodotto (identificazione dell’articolo)</w:t>
            </w:r>
          </w:p>
          <w:p w:rsidR="00EC3CC9" w:rsidRDefault="00EC3CC9" w:rsidP="006D500D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l’</w:t>
            </w:r>
            <w:r w:rsidR="00360B05">
              <w:t xml:space="preserve">indicazione </w:t>
            </w:r>
            <w:r w:rsidR="00AE1AC2">
              <w:t xml:space="preserve">degli </w:t>
            </w:r>
            <w:r w:rsidR="00360B05">
              <w:t>estremi del fabbricante e dell’importatore (se il fabbricante non è europeo)</w:t>
            </w:r>
          </w:p>
          <w:p w:rsidR="008924FA" w:rsidRDefault="008924FA" w:rsidP="008924FA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dati di</w:t>
            </w:r>
            <w:r w:rsidR="00EB3D9D">
              <w:t xml:space="preserve"> targa e avvertenze</w:t>
            </w:r>
          </w:p>
          <w:p w:rsidR="006D500D" w:rsidRPr="009C3208" w:rsidRDefault="00360B05" w:rsidP="008924FA">
            <w:pPr>
              <w:pStyle w:val="Paragrafoelenco"/>
              <w:numPr>
                <w:ilvl w:val="0"/>
                <w:numId w:val="11"/>
              </w:numPr>
              <w:spacing w:after="60"/>
              <w:ind w:left="714" w:hanging="357"/>
              <w:jc w:val="both"/>
            </w:pPr>
            <w:r>
              <w:t xml:space="preserve">istruzioni </w:t>
            </w:r>
            <w:r w:rsidR="00AD1ED3">
              <w:t xml:space="preserve">e avvertenze </w:t>
            </w:r>
            <w:r>
              <w:t>in lingua italiana</w:t>
            </w:r>
          </w:p>
        </w:tc>
      </w:tr>
      <w:tr w:rsidR="00360B05" w:rsidTr="004D219C"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</w:tcPr>
          <w:p w:rsidR="00360B05" w:rsidRDefault="00EC3CC9" w:rsidP="00EC3CC9">
            <w:pPr>
              <w:jc w:val="both"/>
            </w:pPr>
            <w:r>
              <w:lastRenderedPageBreak/>
              <w:t>Attività necessarie per ottemperare ai CONTROLLI VISIVI</w:t>
            </w: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auto"/>
          </w:tcPr>
          <w:p w:rsidR="002E6D5F" w:rsidRPr="000A6908" w:rsidRDefault="002E6D5F" w:rsidP="00CF4B55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LA MARCATURA CE</w:t>
            </w:r>
          </w:p>
          <w:p w:rsidR="002E6D5F" w:rsidRDefault="002E6D5F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476613B7" wp14:editId="320F3F87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24131</wp:posOffset>
                  </wp:positionV>
                  <wp:extent cx="781050" cy="531684"/>
                  <wp:effectExtent l="0" t="0" r="0" b="1905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47" cy="53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6D5F" w:rsidRDefault="002E6D5F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</w:p>
          <w:p w:rsidR="00360B05" w:rsidRDefault="00360B05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  <w:r w:rsidRPr="002E6D5F">
              <w:t>La marcatura CE è un indicatore fondamentale (ma non una prova) della conformità del prodotto alla legislazione dell'UE e consente la libera circolazione dei prodotti</w:t>
            </w:r>
            <w:r>
              <w:t xml:space="preserve"> all'interno del mercato del Sistema Economico Europeo. Deve rispettare specifiche proporzioni per potersi definire conforme</w:t>
            </w:r>
            <w:r w:rsidR="0046515B">
              <w:t xml:space="preserve"> e deve essere apposta sul prodotto cui si riferisce in maniera visibile, leggibile e indelebile.</w:t>
            </w:r>
          </w:p>
          <w:p w:rsidR="0046515B" w:rsidRDefault="0046515B" w:rsidP="00CF4B55">
            <w:pPr>
              <w:jc w:val="both"/>
            </w:pPr>
          </w:p>
          <w:p w:rsidR="0046515B" w:rsidRPr="00D95470" w:rsidRDefault="00E8023F" w:rsidP="00DE021D">
            <w:pPr>
              <w:jc w:val="both"/>
              <w:rPr>
                <w:b/>
              </w:rPr>
            </w:pPr>
            <w:r>
              <w:t xml:space="preserve">La </w:t>
            </w:r>
            <w:r w:rsidR="0046515B">
              <w:t xml:space="preserve">norma </w:t>
            </w:r>
            <w:r>
              <w:t xml:space="preserve">applicabile </w:t>
            </w:r>
            <w:r w:rsidR="00AE4E8E">
              <w:t>ai giocattoli</w:t>
            </w:r>
            <w:r>
              <w:t xml:space="preserve"> </w:t>
            </w:r>
            <w:r w:rsidR="0046515B">
              <w:t>impone l’apposizione</w:t>
            </w:r>
            <w:r w:rsidR="00DE021D">
              <w:t xml:space="preserve"> </w:t>
            </w:r>
            <w:r w:rsidR="00DE021D" w:rsidRPr="0046515B">
              <w:t>della m</w:t>
            </w:r>
            <w:r w:rsidR="00DE021D">
              <w:t xml:space="preserve">arcatura CE </w:t>
            </w:r>
            <w:r w:rsidR="0046515B">
              <w:t xml:space="preserve">direttamente sul </w:t>
            </w:r>
            <w:r w:rsidR="00AE4E8E">
              <w:t>prodotto</w:t>
            </w:r>
            <w:r w:rsidR="007E68B4">
              <w:t>,</w:t>
            </w:r>
            <w:r w:rsidR="0046515B">
              <w:t xml:space="preserve"> </w:t>
            </w:r>
            <w:r w:rsidR="001C1ECA">
              <w:t xml:space="preserve">sostituibile da quella apposta </w:t>
            </w:r>
            <w:r w:rsidR="0046515B">
              <w:t>sull’imballaggio</w:t>
            </w:r>
            <w:r w:rsidR="00DE021D">
              <w:t xml:space="preserve"> </w:t>
            </w:r>
            <w:r w:rsidR="00ED0555">
              <w:t>del</w:t>
            </w:r>
            <w:r w:rsidR="003728E3">
              <w:t>l’articolo</w:t>
            </w:r>
            <w:r w:rsidR="00ED0555">
              <w:t xml:space="preserve"> </w:t>
            </w:r>
            <w:r w:rsidR="0046515B">
              <w:t xml:space="preserve">solo nel caso in cui </w:t>
            </w:r>
            <w:r w:rsidR="00DE021D">
              <w:t>risulti</w:t>
            </w:r>
            <w:r w:rsidR="0046515B">
              <w:t xml:space="preserve"> </w:t>
            </w:r>
            <w:r w:rsidR="0046515B" w:rsidRPr="0046515B">
              <w:t>impossibile</w:t>
            </w:r>
            <w:r w:rsidR="00AE4E8E">
              <w:t>,</w:t>
            </w:r>
            <w:r w:rsidR="0046515B" w:rsidRPr="0046515B">
              <w:t xml:space="preserve"> </w:t>
            </w:r>
            <w:r w:rsidR="00DE021D">
              <w:t xml:space="preserve">tecnicamente </w:t>
            </w:r>
            <w:r w:rsidR="0046515B">
              <w:t xml:space="preserve">o </w:t>
            </w:r>
            <w:r w:rsidR="0046515B" w:rsidRPr="0046515B">
              <w:t>a condizioni ragionevoli dal punto di vista tecnico o economico</w:t>
            </w:r>
            <w:r w:rsidR="00DE021D">
              <w:t xml:space="preserve">, </w:t>
            </w:r>
            <w:r w:rsidR="00AE4E8E">
              <w:t xml:space="preserve">apporla sul prodotto, </w:t>
            </w:r>
            <w:r w:rsidR="00DE021D">
              <w:t>oppure non si possano garantire</w:t>
            </w:r>
            <w:r w:rsidR="0046515B" w:rsidRPr="0046515B">
              <w:t xml:space="preserve"> le dimensioni minime per l'apposizione</w:t>
            </w:r>
            <w:r w:rsidR="00D15188">
              <w:t xml:space="preserve"> (il marchio CE deve avere una dimensione minima di 5mm di lato)</w:t>
            </w:r>
            <w:r w:rsidR="0046515B" w:rsidRPr="0046515B">
              <w:t xml:space="preserve">, o </w:t>
            </w:r>
            <w:r w:rsidR="00DE021D">
              <w:t xml:space="preserve">ancora </w:t>
            </w:r>
            <w:r w:rsidR="0046515B" w:rsidRPr="0046515B">
              <w:t>non si p</w:t>
            </w:r>
            <w:r w:rsidR="00DE021D">
              <w:t>ossa</w:t>
            </w:r>
            <w:r w:rsidR="0046515B" w:rsidRPr="0046515B">
              <w:t xml:space="preserve"> garantire che la marcatura CE risulti v</w:t>
            </w:r>
            <w:r w:rsidR="00F2042A">
              <w:t>isibile, leggibile e indelebile. Da sottolineare che laddove la marcatura CE apposta sul prodotto non sia visibile dall’esterno senza aprire l’imballo è necessario che la marcatura sia riportata anche sulla confezione. Infine, nel caso di giocattoli venduti in espositori per i quali non è possibile marcare individualmente i prodotti è ammissibile che la marcatura sia apposta sull’espositore, purché rappresenti l’imballo originario.</w:t>
            </w:r>
            <w:r w:rsidR="00DE021D">
              <w:t xml:space="preserve"> </w:t>
            </w:r>
            <w:r w:rsidR="00DE021D" w:rsidRPr="00D95470">
              <w:rPr>
                <w:b/>
              </w:rPr>
              <w:t xml:space="preserve">È NECESSARIO CHE IL DISTRIBUTORE SI ACCERTI DELLA PRESENZA DELLA MARCATURA CE DIRETTAMENTE </w:t>
            </w:r>
            <w:r w:rsidR="003728E3">
              <w:rPr>
                <w:b/>
              </w:rPr>
              <w:t>SU CIASCUN G</w:t>
            </w:r>
            <w:r w:rsidR="00AE4E8E">
              <w:rPr>
                <w:b/>
              </w:rPr>
              <w:t>IOCATTOLO</w:t>
            </w:r>
            <w:r w:rsidR="00DE021D" w:rsidRPr="00D95470">
              <w:rPr>
                <w:b/>
              </w:rPr>
              <w:t xml:space="preserve"> APRENDO ALMENO UNA CONFEZIONE</w:t>
            </w:r>
            <w:r w:rsidR="00064BDA">
              <w:rPr>
                <w:b/>
              </w:rPr>
              <w:t>. NON E’ DA RITENERSI CON</w:t>
            </w:r>
            <w:r w:rsidR="009A0C5F">
              <w:rPr>
                <w:b/>
              </w:rPr>
              <w:t>FORME L’APPOSIZIONE SUL PRODOTTO DELLA MARCATURA CE A MEZZO ADESIVI (mancanza del requisito di</w:t>
            </w:r>
            <w:r w:rsidR="007C46A8">
              <w:rPr>
                <w:b/>
              </w:rPr>
              <w:t xml:space="preserve"> marchio indelebile</w:t>
            </w:r>
            <w:r w:rsidR="009A0C5F">
              <w:rPr>
                <w:b/>
              </w:rPr>
              <w:t>).</w:t>
            </w:r>
          </w:p>
          <w:p w:rsidR="00DE021D" w:rsidRDefault="00DE021D" w:rsidP="00DE021D">
            <w:pPr>
              <w:jc w:val="both"/>
            </w:pPr>
          </w:p>
          <w:p w:rsidR="00710C8E" w:rsidRPr="000A6908" w:rsidRDefault="00710C8E" w:rsidP="00DE021D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CODICE IDENTIFICATIVO DEL PRODOTTO</w:t>
            </w:r>
          </w:p>
          <w:p w:rsidR="00710C8E" w:rsidRDefault="00710C8E" w:rsidP="00DE021D">
            <w:pPr>
              <w:jc w:val="both"/>
            </w:pPr>
          </w:p>
          <w:p w:rsidR="00710C8E" w:rsidRPr="00D95470" w:rsidRDefault="00710C8E" w:rsidP="00644E2C">
            <w:pPr>
              <w:jc w:val="both"/>
              <w:rPr>
                <w:b/>
              </w:rPr>
            </w:pPr>
            <w:r>
              <w:t xml:space="preserve">La norma impone che </w:t>
            </w:r>
            <w:r w:rsidR="00644E2C">
              <w:t xml:space="preserve">su </w:t>
            </w:r>
            <w:r>
              <w:t xml:space="preserve">ogni </w:t>
            </w:r>
            <w:r w:rsidR="003728E3">
              <w:t>g</w:t>
            </w:r>
            <w:r w:rsidR="00AE4E8E">
              <w:t>iocattolo</w:t>
            </w:r>
            <w:r>
              <w:t xml:space="preserve"> sia </w:t>
            </w:r>
            <w:r w:rsidR="00644E2C">
              <w:t>presente un numero di tipo, di lotto o seriale</w:t>
            </w:r>
            <w:r w:rsidR="00D15188">
              <w:t>,</w:t>
            </w:r>
            <w:r w:rsidR="00644E2C">
              <w:t xml:space="preserve"> o altro elemento identificativo, che individui univocamente il prodotto. Questo elemento è importante per la tracciabilità e </w:t>
            </w:r>
            <w:r w:rsidR="00D15188">
              <w:t>per l’</w:t>
            </w:r>
            <w:r w:rsidR="00644E2C">
              <w:t xml:space="preserve">individuazione di quali esemplari siano eventualmente interessati </w:t>
            </w:r>
            <w:r w:rsidR="00864669">
              <w:t>da</w:t>
            </w:r>
            <w:r w:rsidR="00644E2C">
              <w:t xml:space="preserve"> ritiri o richiami dal mercato.</w:t>
            </w:r>
            <w:r w:rsidR="00864669">
              <w:t xml:space="preserve"> Anche in questo caso si tratta di una marcatura che deve risultare visibile, leggibile e indelebile sul prodotto e solo in alcuni casi sostituibile dall’indicazione sulla confezione; </w:t>
            </w:r>
            <w:r w:rsidR="00D15188">
              <w:t xml:space="preserve">pertanto </w:t>
            </w:r>
            <w:r w:rsidR="00864669" w:rsidRPr="00D95470">
              <w:rPr>
                <w:b/>
              </w:rPr>
              <w:t xml:space="preserve">È NECESSARIO CHE IL DISTRIBUTORE SI ACCERTI DELLA PRESENZA DEL CODICE IDENTIFICATIVO DIRETTAMENTE </w:t>
            </w:r>
            <w:r w:rsidR="003728E3">
              <w:rPr>
                <w:b/>
              </w:rPr>
              <w:t xml:space="preserve">SU CIASCUN </w:t>
            </w:r>
            <w:r w:rsidR="00AE4E8E">
              <w:rPr>
                <w:b/>
              </w:rPr>
              <w:t>PRODOTTO</w:t>
            </w:r>
            <w:r w:rsidR="00864669" w:rsidRPr="00D95470">
              <w:rPr>
                <w:b/>
              </w:rPr>
              <w:t xml:space="preserve"> APRENDO ALMENO UNA CONFEZIONE</w:t>
            </w:r>
          </w:p>
          <w:p w:rsidR="00864669" w:rsidRDefault="00864669" w:rsidP="00644E2C">
            <w:pPr>
              <w:jc w:val="both"/>
            </w:pPr>
          </w:p>
          <w:p w:rsidR="00EB3D9D" w:rsidRDefault="00EB3D9D" w:rsidP="00644E2C">
            <w:pPr>
              <w:jc w:val="both"/>
            </w:pPr>
          </w:p>
          <w:p w:rsidR="00864669" w:rsidRPr="000A6908" w:rsidRDefault="00864669" w:rsidP="00644E2C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ESTREMI DEL FABBRICANTE E DELL’IMPORTATORE</w:t>
            </w:r>
          </w:p>
          <w:p w:rsidR="00864669" w:rsidRDefault="00864669" w:rsidP="00644E2C">
            <w:pPr>
              <w:jc w:val="both"/>
            </w:pPr>
          </w:p>
          <w:p w:rsidR="00864669" w:rsidRDefault="00864669" w:rsidP="00644E2C">
            <w:pPr>
              <w:jc w:val="both"/>
            </w:pPr>
            <w:r>
              <w:t>Il fabbricante è secondo la norma il soggetto che produce o fa produrre a proprio nome un certo prodotto; è il soggetto responsabile della sicurezza del</w:t>
            </w:r>
            <w:r w:rsidR="00C37B51">
              <w:t>lo stesso</w:t>
            </w:r>
            <w:r>
              <w:t xml:space="preserve"> e della sua conformità a tutti i requisiti fissati dalla norma. Ove il fabbricante non abbia sede</w:t>
            </w:r>
            <w:r w:rsidR="00442588">
              <w:t xml:space="preserve"> nella comunità europea è necessario che sia presente l’importatore, come responsabile dell’immissione del prodotto</w:t>
            </w:r>
            <w:r w:rsidR="001C1ECA">
              <w:t xml:space="preserve">, in </w:t>
            </w:r>
            <w:r w:rsidR="001C1ECA">
              <w:lastRenderedPageBreak/>
              <w:t>affiancamento al produttore originario</w:t>
            </w:r>
            <w:r w:rsidR="00442588">
              <w:t>.</w:t>
            </w:r>
          </w:p>
          <w:p w:rsidR="00442588" w:rsidRDefault="00442588" w:rsidP="00644E2C">
            <w:pPr>
              <w:jc w:val="both"/>
            </w:pPr>
          </w:p>
          <w:p w:rsidR="00442588" w:rsidRDefault="00442588" w:rsidP="00644E2C">
            <w:pPr>
              <w:jc w:val="both"/>
            </w:pPr>
            <w:r>
              <w:t>Fabbricante e importatore hanno l’obbligo di apporre i loro estremi direttamente sul prodotto, nella forma di: nome, denominazione commerciale registrata o marchio registrato e indirizzo postale al quale essere contattati</w:t>
            </w:r>
            <w:r w:rsidR="00DE3D31">
              <w:t>.</w:t>
            </w:r>
          </w:p>
          <w:p w:rsidR="00DE3D31" w:rsidRPr="00D95470" w:rsidRDefault="00DE3D31" w:rsidP="00644E2C">
            <w:pPr>
              <w:jc w:val="both"/>
              <w:rPr>
                <w:b/>
              </w:rPr>
            </w:pPr>
            <w:r>
              <w:t xml:space="preserve">Anche in questo caso i dati riportati in confezione o su un documento che accompagna il prodotto </w:t>
            </w:r>
            <w:r w:rsidR="009A0C5F">
              <w:t xml:space="preserve">fino al consumatore finale </w:t>
            </w:r>
            <w:r>
              <w:t xml:space="preserve">possono sostituire quelli sul prodotto stesso solo in casi conclamati di impossibilità tecnica o economica, non per motivi di estetica, quindi </w:t>
            </w:r>
            <w:r w:rsidRPr="00D95470">
              <w:rPr>
                <w:b/>
              </w:rPr>
              <w:t>È NECESSARIO CHE IL DISTRIBUTORE SI ACCERTI DELLA PRESENZA DEGLI ESTREMI DEL FABBRICANTE E DELL’IMPORTATORE DIRETTAMENTE SUL PRODOTTO APRENDO ALMENO UNA CONFEZIONE</w:t>
            </w:r>
          </w:p>
          <w:p w:rsidR="00DE3D31" w:rsidRDefault="00DE3D31" w:rsidP="00644E2C">
            <w:pPr>
              <w:jc w:val="both"/>
            </w:pPr>
          </w:p>
          <w:p w:rsidR="00AE442C" w:rsidRDefault="00AE442C" w:rsidP="00AE442C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 xml:space="preserve">DATI DI TARGA </w:t>
            </w:r>
            <w:r w:rsidR="00EB3D9D">
              <w:rPr>
                <w:u w:val="single"/>
              </w:rPr>
              <w:t>E AVVERTENZE</w:t>
            </w:r>
          </w:p>
          <w:p w:rsidR="00AE442C" w:rsidRDefault="00AE442C" w:rsidP="00AE442C">
            <w:pPr>
              <w:jc w:val="both"/>
            </w:pPr>
          </w:p>
          <w:p w:rsidR="00AE442C" w:rsidRDefault="00AE442C" w:rsidP="00AE442C">
            <w:pPr>
              <w:jc w:val="both"/>
            </w:pPr>
            <w:r>
              <w:t xml:space="preserve">La norma deriva la presunzione della conformità agli obiettivi di sicurezza di un </w:t>
            </w:r>
            <w:r w:rsidR="00AE4E8E">
              <w:t>giocattolo</w:t>
            </w:r>
            <w:r>
              <w:t xml:space="preserve"> dalla conformità dello stesso alle norme armonizzate ad esso applicabili. </w:t>
            </w:r>
            <w:r w:rsidR="0071674E">
              <w:t>La</w:t>
            </w:r>
            <w:r>
              <w:t xml:space="preserve"> </w:t>
            </w:r>
            <w:r w:rsidR="00C146BA">
              <w:t xml:space="preserve">principale </w:t>
            </w:r>
            <w:r>
              <w:t xml:space="preserve">normativa tecnica </w:t>
            </w:r>
            <w:r w:rsidR="0071674E">
              <w:t xml:space="preserve">applicabile ai giocattoli </w:t>
            </w:r>
            <w:r w:rsidR="000B363E">
              <w:t>è</w:t>
            </w:r>
            <w:r w:rsidR="0071674E">
              <w:t xml:space="preserve"> costituita dall’insieme delle norme </w:t>
            </w:r>
            <w:r>
              <w:t>ar</w:t>
            </w:r>
            <w:r w:rsidR="003B48F5">
              <w:t>monizzat</w:t>
            </w:r>
            <w:r w:rsidR="0071674E">
              <w:t>e:</w:t>
            </w:r>
            <w:r w:rsidR="003B48F5">
              <w:t xml:space="preserve"> UNI EN </w:t>
            </w:r>
            <w:r w:rsidR="0071674E">
              <w:t>71-1</w:t>
            </w:r>
            <w:r w:rsidR="003B48F5">
              <w:t>:20</w:t>
            </w:r>
            <w:r w:rsidR="0071674E">
              <w:t>18 per le proprietà meccaniche e fisiche, UNI EN 71-2:2021 per l’infiammabilità e la UNI EN 71-3:</w:t>
            </w:r>
            <w:r w:rsidR="00C146BA">
              <w:t>2021</w:t>
            </w:r>
            <w:r w:rsidR="0071674E">
              <w:t xml:space="preserve"> per </w:t>
            </w:r>
            <w:r w:rsidR="00C146BA">
              <w:t xml:space="preserve">la migrazione di alcuni elementi. </w:t>
            </w:r>
            <w:r w:rsidR="0014680B">
              <w:t xml:space="preserve">Nel caso dei giocattoli alimentati a batteria risulta applicabile </w:t>
            </w:r>
            <w:r w:rsidR="003B4B49">
              <w:t xml:space="preserve">anche la CEI EN IEC 62115:2020. </w:t>
            </w:r>
            <w:r w:rsidR="00C146BA">
              <w:t>Queste norme</w:t>
            </w:r>
            <w:r w:rsidR="0071674E">
              <w:t xml:space="preserve"> </w:t>
            </w:r>
            <w:r>
              <w:t>impon</w:t>
            </w:r>
            <w:r w:rsidR="00C146BA">
              <w:t>gono</w:t>
            </w:r>
            <w:r>
              <w:t xml:space="preserve"> l’indicazione su ciascun g</w:t>
            </w:r>
            <w:r w:rsidR="00C146BA">
              <w:t>iocattolo</w:t>
            </w:r>
            <w:r>
              <w:t>, in modo permanente al fine di rimanere visibili e leggibili per tutta la vita utile, i seguenti elementi:</w:t>
            </w:r>
          </w:p>
          <w:p w:rsidR="00AE442C" w:rsidRDefault="00AE442C" w:rsidP="00AE442C">
            <w:pPr>
              <w:jc w:val="both"/>
            </w:pPr>
          </w:p>
          <w:p w:rsidR="00D8765B" w:rsidRDefault="00D8765B" w:rsidP="006650C4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la marcatura CE;</w:t>
            </w:r>
          </w:p>
          <w:p w:rsidR="003B48F5" w:rsidRDefault="001A76D5" w:rsidP="006650C4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gli estremi completi del fabbricante e dell’importatore (nome o marchio e indirizzo);</w:t>
            </w:r>
          </w:p>
          <w:p w:rsidR="006C3FD4" w:rsidRDefault="003B48F5" w:rsidP="006C3FD4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codice identificativo del prodotto;</w:t>
            </w:r>
          </w:p>
          <w:p w:rsidR="006C3FD4" w:rsidRDefault="002607E3" w:rsidP="006C3FD4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se applicabile l’avvertenza relativa</w:t>
            </w:r>
            <w:r w:rsidR="00C146BA">
              <w:t xml:space="preserve"> all’età</w:t>
            </w:r>
            <w:r w:rsidR="006C3FD4">
              <w:t xml:space="preserve"> nell</w:t>
            </w:r>
            <w:r w:rsidR="00A30EF1">
              <w:t>a</w:t>
            </w:r>
            <w:r w:rsidR="006C3FD4">
              <w:t xml:space="preserve"> forma di:</w:t>
            </w:r>
          </w:p>
          <w:p w:rsidR="006C3FD4" w:rsidRPr="006C3FD4" w:rsidRDefault="006C3FD4" w:rsidP="006C3FD4">
            <w:pPr>
              <w:pStyle w:val="Paragrafoelenco"/>
              <w:jc w:val="both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12512" behindDoc="0" locked="0" layoutInCell="1" allowOverlap="1" wp14:anchorId="6C2B0127" wp14:editId="48D814C7">
                  <wp:simplePos x="0" y="0"/>
                  <wp:positionH relativeFrom="column">
                    <wp:posOffset>1686923</wp:posOffset>
                  </wp:positionH>
                  <wp:positionV relativeFrom="paragraph">
                    <wp:posOffset>6350</wp:posOffset>
                  </wp:positionV>
                  <wp:extent cx="387985" cy="374015"/>
                  <wp:effectExtent l="0" t="0" r="0" b="6985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ttogramm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48F5" w:rsidRDefault="006C3FD4" w:rsidP="006C3FD4">
            <w:pPr>
              <w:pStyle w:val="Paragrafoelenco"/>
              <w:numPr>
                <w:ilvl w:val="1"/>
                <w:numId w:val="21"/>
              </w:numPr>
              <w:jc w:val="both"/>
            </w:pPr>
            <w:r>
              <w:t>pittogramma</w:t>
            </w:r>
            <w:r w:rsidR="00C146BA">
              <w:t xml:space="preserve"> </w:t>
            </w:r>
            <w:r>
              <w:t xml:space="preserve">        </w:t>
            </w:r>
            <w:r w:rsidR="00C146BA">
              <w:t xml:space="preserve">     accompagnato dalla parola “A</w:t>
            </w:r>
            <w:r w:rsidR="00A30EF1">
              <w:t>ttenzione” (o “Avvertenza</w:t>
            </w:r>
            <w:r w:rsidR="00C146BA">
              <w:t>”</w:t>
            </w:r>
            <w:r w:rsidR="00A30EF1">
              <w:t xml:space="preserve"> o “Avvertenze”)</w:t>
            </w:r>
            <w:r w:rsidR="00817606">
              <w:t>;</w:t>
            </w:r>
          </w:p>
          <w:p w:rsidR="006C3FD4" w:rsidRPr="006C3FD4" w:rsidRDefault="006C3FD4" w:rsidP="006C3FD4">
            <w:pPr>
              <w:jc w:val="both"/>
              <w:rPr>
                <w:sz w:val="16"/>
                <w:szCs w:val="16"/>
              </w:rPr>
            </w:pPr>
          </w:p>
          <w:p w:rsidR="00A30EF1" w:rsidRDefault="00A30EF1" w:rsidP="006C3FD4">
            <w:pPr>
              <w:pStyle w:val="Paragrafoelenco"/>
              <w:numPr>
                <w:ilvl w:val="1"/>
                <w:numId w:val="21"/>
              </w:numPr>
              <w:jc w:val="both"/>
            </w:pPr>
            <w:r>
              <w:t>dicitura “</w:t>
            </w:r>
            <w:r w:rsidRPr="001A76D5">
              <w:rPr>
                <w:i/>
              </w:rPr>
              <w:t>Attenzione. Non adatto a bambini di età inferiore ai 36 mesi</w:t>
            </w:r>
            <w:r>
              <w:t>”</w:t>
            </w:r>
          </w:p>
          <w:p w:rsidR="005900CE" w:rsidRDefault="00A30EF1" w:rsidP="00695FC3">
            <w:pPr>
              <w:pStyle w:val="Paragrafoelenco"/>
              <w:numPr>
                <w:ilvl w:val="1"/>
                <w:numId w:val="21"/>
              </w:numPr>
              <w:jc w:val="both"/>
            </w:pPr>
            <w:r>
              <w:t>dicitura “</w:t>
            </w:r>
            <w:r w:rsidRPr="001A76D5">
              <w:rPr>
                <w:i/>
              </w:rPr>
              <w:t>Attenzione. Non adatto a bambini di età inferiore ai 3 anni</w:t>
            </w:r>
            <w:r>
              <w:t>”</w:t>
            </w:r>
          </w:p>
          <w:p w:rsidR="005900CE" w:rsidRDefault="005900CE" w:rsidP="005900CE">
            <w:pPr>
              <w:pStyle w:val="Paragrafoelenco"/>
              <w:jc w:val="both"/>
            </w:pPr>
          </w:p>
          <w:p w:rsidR="000A01B1" w:rsidRDefault="005900CE" w:rsidP="003B4B49">
            <w:pPr>
              <w:pStyle w:val="Paragrafoelenco"/>
              <w:jc w:val="both"/>
            </w:pPr>
            <w:r>
              <w:t xml:space="preserve">in tutti </w:t>
            </w:r>
            <w:r w:rsidR="002607E3">
              <w:t xml:space="preserve">e tre </w:t>
            </w:r>
            <w:r>
              <w:t xml:space="preserve">i casi le avvertenze devono essere accompagnate </w:t>
            </w:r>
            <w:r w:rsidR="002607E3">
              <w:t>da una breve descrizione del pericolo specifico;</w:t>
            </w:r>
          </w:p>
          <w:p w:rsidR="0055243B" w:rsidRDefault="0055243B" w:rsidP="003B4B49">
            <w:pPr>
              <w:pStyle w:val="Paragrafoelenco"/>
              <w:jc w:val="both"/>
            </w:pPr>
          </w:p>
          <w:p w:rsidR="003B4B49" w:rsidRDefault="00D00B43" w:rsidP="003B4B49">
            <w:pPr>
              <w:pStyle w:val="Paragrafoelenco"/>
              <w:numPr>
                <w:ilvl w:val="0"/>
                <w:numId w:val="24"/>
              </w:num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19680" behindDoc="0" locked="0" layoutInCell="1" allowOverlap="1" wp14:anchorId="27F21188" wp14:editId="0C974901">
                  <wp:simplePos x="0" y="0"/>
                  <wp:positionH relativeFrom="column">
                    <wp:posOffset>1068886</wp:posOffset>
                  </wp:positionH>
                  <wp:positionV relativeFrom="paragraph">
                    <wp:posOffset>498294</wp:posOffset>
                  </wp:positionV>
                  <wp:extent cx="355600" cy="492369"/>
                  <wp:effectExtent l="0" t="0" r="6350" b="3175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e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599" cy="492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4B49">
              <w:t xml:space="preserve">il vano batterie </w:t>
            </w:r>
            <w:r w:rsidR="00123C2E">
              <w:t xml:space="preserve">sostituibili </w:t>
            </w:r>
            <w:r w:rsidR="003B4B49">
              <w:t>(sopra lo sportello o dentro al vano) deve riportare la tensione nominale in volt necessaria per l’alimentazione; nel caso in cui siano necessarie più di una batteria deve essere presente una marcatura con la forma delle batterie in grandezza proporzionale</w:t>
            </w:r>
            <w:r w:rsidR="0055243B">
              <w:t>,</w:t>
            </w:r>
            <w:r w:rsidR="003B4B49">
              <w:t xml:space="preserve"> con indicazione della corretta polarità e tensione nominale di ciascuna batteria</w:t>
            </w:r>
            <w:r w:rsidR="0055243B">
              <w:t>.</w:t>
            </w:r>
          </w:p>
          <w:p w:rsidR="0055243B" w:rsidRDefault="00123C2E" w:rsidP="00123C2E">
            <w:pPr>
              <w:pStyle w:val="Paragrafoelenco"/>
              <w:numPr>
                <w:ilvl w:val="0"/>
                <w:numId w:val="24"/>
              </w:numPr>
              <w:jc w:val="both"/>
            </w:pPr>
            <w:r>
              <w:t xml:space="preserve"> il simbolo </w:t>
            </w:r>
            <w:r w:rsidR="00D00B43">
              <w:t xml:space="preserve">            relativo al riciclo degli apparecchi elettrici</w:t>
            </w:r>
          </w:p>
          <w:p w:rsidR="0055243B" w:rsidRDefault="0055243B" w:rsidP="0055243B">
            <w:pPr>
              <w:pStyle w:val="Paragrafoelenco"/>
              <w:jc w:val="both"/>
            </w:pPr>
          </w:p>
          <w:p w:rsidR="0055243B" w:rsidRPr="003B4B49" w:rsidRDefault="0055243B" w:rsidP="0055243B">
            <w:pPr>
              <w:pStyle w:val="Paragrafoelenco"/>
              <w:jc w:val="both"/>
            </w:pPr>
          </w:p>
          <w:p w:rsidR="00695FC3" w:rsidRPr="00FA0799" w:rsidRDefault="00695FC3" w:rsidP="00695FC3">
            <w:pPr>
              <w:jc w:val="both"/>
              <w:rPr>
                <w:u w:val="single"/>
              </w:rPr>
            </w:pPr>
            <w:r w:rsidRPr="00FA0799">
              <w:rPr>
                <w:u w:val="single"/>
              </w:rPr>
              <w:lastRenderedPageBreak/>
              <w:t>ISTRUZIONI IN LINGUA ITALIANA</w:t>
            </w:r>
          </w:p>
          <w:p w:rsidR="00695FC3" w:rsidRDefault="00695FC3" w:rsidP="00695FC3">
            <w:pPr>
              <w:jc w:val="both"/>
            </w:pPr>
          </w:p>
          <w:p w:rsidR="00494711" w:rsidRDefault="00695FC3" w:rsidP="00644E2C">
            <w:pPr>
              <w:jc w:val="both"/>
              <w:rPr>
                <w:b/>
              </w:rPr>
            </w:pPr>
            <w:r>
              <w:t>La norma im</w:t>
            </w:r>
            <w:r w:rsidR="006D500D">
              <w:t xml:space="preserve">pone che ogni </w:t>
            </w:r>
            <w:r w:rsidR="006650C4">
              <w:t>giocatolo</w:t>
            </w:r>
            <w:r>
              <w:t xml:space="preserve"> sia accompagnato da istruzioni e </w:t>
            </w:r>
            <w:r w:rsidR="000A6908">
              <w:t>informazioni sulla sicurezza scritte nella lingua ufficiale del paese nel quale il prodotto viene venduto; conseguentemente per i prodotti distribuiti in Italia deve essere almeno presente la lingua italiana. Poiché solitamente le istruzioni sono inserite all’interno delle confezioni</w:t>
            </w:r>
            <w:r w:rsidR="006D500D">
              <w:t xml:space="preserve"> </w:t>
            </w:r>
            <w:r w:rsidR="000A6908" w:rsidRPr="00D95470">
              <w:rPr>
                <w:b/>
              </w:rPr>
              <w:t>È NECESSARIO CHE IL DISTRIBUTORE SI ACCERTI DELLA PRESENZA DELLE ISTRUZIONI IN LINGUA ITALIANA APRENDO ALMENO UNA CONFEZIONE</w:t>
            </w:r>
          </w:p>
          <w:p w:rsidR="006D500D" w:rsidRDefault="006D500D" w:rsidP="00624ECA">
            <w:pPr>
              <w:shd w:val="clear" w:color="auto" w:fill="FFFFFF"/>
            </w:pPr>
          </w:p>
          <w:p w:rsidR="00443E3E" w:rsidRDefault="00443E3E" w:rsidP="00443E3E">
            <w:pPr>
              <w:shd w:val="clear" w:color="auto" w:fill="FFFFFF"/>
            </w:pPr>
            <w:r>
              <w:t>Le</w:t>
            </w:r>
            <w:r w:rsidRPr="00AC6EDC">
              <w:t xml:space="preserve"> istruzioni </w:t>
            </w:r>
            <w:r>
              <w:t xml:space="preserve">sulla sicurezza </w:t>
            </w:r>
            <w:r w:rsidRPr="001E733C">
              <w:t xml:space="preserve">devono </w:t>
            </w:r>
            <w:r>
              <w:t>indicare:</w:t>
            </w: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443E3E" w:rsidRDefault="00443E3E" w:rsidP="00443E3E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gli estremi completi del fabbricante e dell’importatore (nome o marchio e indirizzo);</w:t>
            </w:r>
          </w:p>
          <w:p w:rsidR="00443E3E" w:rsidRDefault="00443E3E" w:rsidP="00443E3E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codice identificativo del prodotto;</w:t>
            </w:r>
          </w:p>
          <w:p w:rsidR="000A01B1" w:rsidRDefault="00EB3D9D" w:rsidP="00443E3E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jc w:val="both"/>
            </w:pPr>
            <w:r>
              <w:t xml:space="preserve">l’indicazione delle avvertenze </w:t>
            </w:r>
            <w:r w:rsidR="006F0BA4">
              <w:t xml:space="preserve">di sicurezza </w:t>
            </w:r>
            <w:r>
              <w:t>e delle informazioni relative all’attribuzione delle fasce di età</w:t>
            </w:r>
            <w:r w:rsidR="001A2D7E">
              <w:t xml:space="preserve"> e le limitazioni d’uso</w:t>
            </w:r>
            <w:r>
              <w:t>;</w:t>
            </w:r>
          </w:p>
          <w:p w:rsidR="000F021D" w:rsidRDefault="006F0BA4" w:rsidP="001A2D7E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jc w:val="both"/>
            </w:pPr>
            <w:r>
              <w:t>istruzioni per l’eventuale montaggio (se applicabile);</w:t>
            </w:r>
          </w:p>
          <w:p w:rsidR="006F0BA4" w:rsidRDefault="006F0BA4" w:rsidP="006F0BA4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jc w:val="both"/>
            </w:pPr>
            <w:r>
              <w:t>istruzioni e avvertenze relative la manutenzione, pulizia e conservazione del prodotto</w:t>
            </w:r>
            <w:r w:rsidR="0055243B">
              <w:t>;</w:t>
            </w:r>
          </w:p>
          <w:p w:rsidR="0055243B" w:rsidRDefault="0055243B" w:rsidP="006F0BA4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jc w:val="both"/>
            </w:pPr>
            <w:r>
              <w:t>istruzioni relative a come rimuovere o inserire le batterie;</w:t>
            </w:r>
          </w:p>
          <w:p w:rsidR="0055243B" w:rsidRDefault="0055243B" w:rsidP="006F0BA4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jc w:val="both"/>
            </w:pPr>
            <w:r>
              <w:t>avvertenza relativa al non utilizzo di tipi diversi di batterie o batterie nuove e vecchi</w:t>
            </w:r>
            <w:r w:rsidR="008574BA">
              <w:t>e</w:t>
            </w:r>
            <w:r>
              <w:t xml:space="preserve"> assieme;</w:t>
            </w:r>
          </w:p>
          <w:p w:rsidR="0055243B" w:rsidRDefault="0055243B" w:rsidP="006F0BA4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jc w:val="both"/>
            </w:pPr>
            <w:r>
              <w:t>avvertenza relativa all’utilizzo delle batterie nella corretta polarità indicata;</w:t>
            </w:r>
          </w:p>
          <w:p w:rsidR="0055243B" w:rsidRDefault="0055243B" w:rsidP="006F0BA4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jc w:val="both"/>
            </w:pPr>
            <w:r>
              <w:t>avvertenza relativa alla necessità di rimuovere le batterie scariche;</w:t>
            </w:r>
          </w:p>
          <w:p w:rsidR="008574BA" w:rsidRDefault="008574BA" w:rsidP="006F0BA4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jc w:val="both"/>
            </w:pPr>
            <w:r>
              <w:t>avvertenza relativa al divieto di cortocircuitare i morsetti di alimentazione;</w:t>
            </w:r>
          </w:p>
          <w:p w:rsidR="008574BA" w:rsidRDefault="008574BA" w:rsidP="006F0BA4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jc w:val="both"/>
            </w:pPr>
            <w:r>
              <w:t>avvertenza relativa alla possibilità di utilizzo di batterie ricaricabili, che devono essere ricaricate al di fuori del giocattolo e sotto la supervisione di un adulto;</w:t>
            </w:r>
          </w:p>
          <w:p w:rsidR="0055243B" w:rsidRDefault="008574BA" w:rsidP="006F0BA4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jc w:val="both"/>
            </w:pPr>
            <w:r>
              <w:t>avvertenza relativa alle batterie non ricaricabili che non devono essere sottoposte a ricarica;</w:t>
            </w:r>
          </w:p>
          <w:p w:rsidR="008574BA" w:rsidRDefault="008574BA" w:rsidP="006F0BA4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jc w:val="both"/>
            </w:pPr>
            <w:r>
              <w:t>per i giocattoli alimentati a batteria da usarsi in acqua, avvertenza relativa al loro uso in acqua con batterie, solo se completamente montati secondo istruzioni.</w:t>
            </w:r>
          </w:p>
          <w:p w:rsidR="009412A1" w:rsidRDefault="009412A1" w:rsidP="009412A1">
            <w:pPr>
              <w:shd w:val="clear" w:color="auto" w:fill="FFFFFF"/>
              <w:ind w:left="360"/>
              <w:jc w:val="both"/>
            </w:pPr>
          </w:p>
          <w:p w:rsidR="00123C2E" w:rsidRDefault="00123C2E" w:rsidP="009412A1">
            <w:pPr>
              <w:shd w:val="clear" w:color="auto" w:fill="FFFFFF"/>
              <w:jc w:val="both"/>
            </w:pPr>
            <w:r>
              <w:t>Trattandosi inoltre di apparecchi elettrici ed elettronici l</w:t>
            </w:r>
            <w:r w:rsidR="009412A1">
              <w:t xml:space="preserve">e istruzioni per l’uso </w:t>
            </w:r>
            <w:r>
              <w:t xml:space="preserve">dei giocattoli alimentati a batteria </w:t>
            </w:r>
            <w:r w:rsidR="009412A1">
              <w:t xml:space="preserve">devono </w:t>
            </w:r>
            <w:r>
              <w:t xml:space="preserve">inoltre </w:t>
            </w:r>
            <w:r w:rsidR="009412A1">
              <w:t>comprendere almeno le seguenti indicazioni</w:t>
            </w:r>
            <w:r>
              <w:t xml:space="preserve"> previste dalla Direttiva RAEE:</w:t>
            </w:r>
          </w:p>
          <w:p w:rsidR="00123C2E" w:rsidRDefault="009412A1" w:rsidP="00123C2E">
            <w:pPr>
              <w:pStyle w:val="Paragrafoelenco"/>
              <w:numPr>
                <w:ilvl w:val="0"/>
                <w:numId w:val="25"/>
              </w:numPr>
              <w:shd w:val="clear" w:color="auto" w:fill="FFFFFF"/>
              <w:jc w:val="both"/>
            </w:pPr>
            <w:r>
              <w:t>Obbligo di non smaltire i RAEE come rifiuti urbani e di effettuare, per detti rifiuti, una raccolta separata;</w:t>
            </w:r>
          </w:p>
          <w:p w:rsidR="00123C2E" w:rsidRDefault="009412A1" w:rsidP="00123C2E">
            <w:pPr>
              <w:pStyle w:val="Paragrafoelenco"/>
              <w:numPr>
                <w:ilvl w:val="0"/>
                <w:numId w:val="25"/>
              </w:numPr>
              <w:shd w:val="clear" w:color="auto" w:fill="FFFFFF"/>
              <w:jc w:val="both"/>
            </w:pPr>
            <w:r>
              <w:t>Sistemi di raccolta dei RAEE, nonché la possibilità di riconsegnare al distributore la vecchia apparecchiatura all</w:t>
            </w:r>
            <w:r w:rsidR="00123C2E">
              <w:t>’atto di acquisto di una nuova;</w:t>
            </w:r>
          </w:p>
          <w:p w:rsidR="00123C2E" w:rsidRDefault="009412A1" w:rsidP="00123C2E">
            <w:pPr>
              <w:pStyle w:val="Paragrafoelenco"/>
              <w:numPr>
                <w:ilvl w:val="0"/>
                <w:numId w:val="25"/>
              </w:numPr>
              <w:shd w:val="clear" w:color="auto" w:fill="FFFFFF"/>
              <w:jc w:val="both"/>
            </w:pPr>
            <w:r>
              <w:t>Gli effetti potenziali sull’ambiente e sulla salute umana dovuti alla presenza di sostanze pericolose nelle apparecchiature elettriche ed elettroniche o ad un uso improprio delle stesse apparecchiature o di parti di esse;</w:t>
            </w:r>
          </w:p>
          <w:p w:rsidR="00123C2E" w:rsidRDefault="009412A1" w:rsidP="00123C2E">
            <w:pPr>
              <w:pStyle w:val="Paragrafoelenco"/>
              <w:numPr>
                <w:ilvl w:val="0"/>
                <w:numId w:val="25"/>
              </w:numPr>
              <w:shd w:val="clear" w:color="auto" w:fill="FFFFFF"/>
              <w:jc w:val="both"/>
            </w:pPr>
            <w:r>
              <w:t>Significato del simbolo del bidone sbarrato;</w:t>
            </w:r>
          </w:p>
          <w:p w:rsidR="001A2D7E" w:rsidRPr="007E68B4" w:rsidRDefault="00E65AE2" w:rsidP="00123C2E">
            <w:pPr>
              <w:pStyle w:val="Paragrafoelenco"/>
              <w:numPr>
                <w:ilvl w:val="0"/>
                <w:numId w:val="25"/>
              </w:numPr>
              <w:shd w:val="clear" w:color="auto" w:fill="FFFFFF"/>
              <w:jc w:val="both"/>
            </w:pPr>
            <w:r>
              <w:t>Il ruolo degli acquirenti nel contribuire al riutilizzo, riciclo ed altre forme di recupero dei RAEE</w:t>
            </w:r>
          </w:p>
        </w:tc>
      </w:tr>
      <w:tr w:rsidR="00802B0F" w:rsidTr="004D219C">
        <w:tc>
          <w:tcPr>
            <w:tcW w:w="1188" w:type="pct"/>
            <w:shd w:val="clear" w:color="auto" w:fill="auto"/>
          </w:tcPr>
          <w:p w:rsidR="00802B0F" w:rsidRDefault="000A6908" w:rsidP="00CF4B55">
            <w:pPr>
              <w:jc w:val="both"/>
            </w:pPr>
            <w:r>
              <w:lastRenderedPageBreak/>
              <w:t>ULTERIORI CONTROLLI VISIVI</w:t>
            </w:r>
            <w:r w:rsidR="00D15188">
              <w:t xml:space="preserve"> E ADEMPIMENTI</w:t>
            </w:r>
          </w:p>
          <w:p w:rsidR="00802B0F" w:rsidRDefault="00802B0F" w:rsidP="00360B05">
            <w:pPr>
              <w:jc w:val="both"/>
            </w:pPr>
            <w:r>
              <w:t>Quando il distributore “ritiene o ha motivo di ritenere che non sia rispettata la conformità”, deve assicurarsi che venga posto rimedio.</w:t>
            </w:r>
          </w:p>
        </w:tc>
        <w:tc>
          <w:tcPr>
            <w:tcW w:w="3812" w:type="pct"/>
            <w:shd w:val="clear" w:color="auto" w:fill="auto"/>
          </w:tcPr>
          <w:p w:rsidR="004D219C" w:rsidRPr="00AE503E" w:rsidRDefault="004D219C" w:rsidP="00B60B69">
            <w:pPr>
              <w:spacing w:after="60"/>
              <w:jc w:val="both"/>
              <w:rPr>
                <w:u w:val="single"/>
              </w:rPr>
            </w:pPr>
            <w:r w:rsidRPr="00AE503E">
              <w:rPr>
                <w:u w:val="single"/>
              </w:rPr>
              <w:t>CONSERVAZIONE DEI PRODOTTI</w:t>
            </w:r>
          </w:p>
          <w:p w:rsidR="004D219C" w:rsidRPr="00D95470" w:rsidRDefault="004D219C" w:rsidP="00BB1C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219C">
              <w:t>I distributori garantiscono ch</w:t>
            </w:r>
            <w:r w:rsidR="0031172D">
              <w:t xml:space="preserve">e, mentre un prodotto è </w:t>
            </w:r>
            <w:r>
              <w:t>sotto la loro responsabilità</w:t>
            </w:r>
            <w:r w:rsidR="0031172D">
              <w:t>, le</w:t>
            </w:r>
            <w:r w:rsidRPr="004D219C">
              <w:t xml:space="preserve"> condizioni di</w:t>
            </w:r>
            <w:r>
              <w:t xml:space="preserve"> </w:t>
            </w:r>
            <w:r w:rsidRPr="004D219C">
              <w:t>immagazzinamento o di trasporto non mettono a rischio la sua</w:t>
            </w:r>
            <w:r>
              <w:t xml:space="preserve"> conformità </w:t>
            </w:r>
            <w:r w:rsidRPr="004D219C">
              <w:t>agli obiettivi di sicurezza</w:t>
            </w:r>
            <w:r>
              <w:t xml:space="preserve">. Umidità, polvere, escursioni termiche (compresa l’esposizione al sole) o </w:t>
            </w:r>
            <w:r w:rsidR="009E3DB2">
              <w:t>pesi</w:t>
            </w:r>
            <w:r w:rsidR="00AF7C2C">
              <w:t xml:space="preserve"> eccessivi </w:t>
            </w:r>
            <w:r w:rsidR="009E3DB2">
              <w:t>caricati sui</w:t>
            </w:r>
            <w:r w:rsidR="00AF7C2C">
              <w:t xml:space="preserve"> prodotti ne determinano un deterioramento che condiziona la conformità dei prodotti alla sicurezza ad ess</w:t>
            </w:r>
            <w:r w:rsidR="009E3DB2">
              <w:t>i</w:t>
            </w:r>
            <w:r w:rsidR="00AF7C2C">
              <w:t xml:space="preserve"> richiesta; la mancata conformità ascrivibile alle cattive condizioni di conservazione diventa imputabile al distributore</w:t>
            </w:r>
            <w:r w:rsidR="00856AE1">
              <w:t xml:space="preserve"> ove non sia dimostrabile </w:t>
            </w:r>
            <w:r w:rsidR="0031172D">
              <w:t>che dipende</w:t>
            </w:r>
            <w:r w:rsidR="00856AE1">
              <w:t xml:space="preserve"> da altri soggetti</w:t>
            </w:r>
            <w:r w:rsidR="009E3DB2">
              <w:t xml:space="preserve">; </w:t>
            </w:r>
            <w:r w:rsidR="00AF7C2C">
              <w:t xml:space="preserve">pertanto </w:t>
            </w:r>
            <w:r w:rsidR="00AF7C2C" w:rsidRPr="00D95470">
              <w:rPr>
                <w:b/>
              </w:rPr>
              <w:t xml:space="preserve">È NECESSARIO CHE IL DISTRIBUTORE </w:t>
            </w:r>
            <w:r w:rsidR="00856AE1" w:rsidRPr="00D95470">
              <w:rPr>
                <w:b/>
              </w:rPr>
              <w:t>SI ACCERTI DE</w:t>
            </w:r>
            <w:r w:rsidR="001C1ECA" w:rsidRPr="00D95470">
              <w:rPr>
                <w:b/>
              </w:rPr>
              <w:t xml:space="preserve">LL’INTEGRITA’ DELLE CONFEZIONI E </w:t>
            </w:r>
            <w:r w:rsidR="00856AE1" w:rsidRPr="00D95470">
              <w:rPr>
                <w:b/>
              </w:rPr>
              <w:t>DELLA MANCANZA DI SEGNI DI UMIDITA’ O SCOLORIMENTO DELLE STESSE</w:t>
            </w:r>
            <w:r w:rsidR="0031172D">
              <w:rPr>
                <w:b/>
              </w:rPr>
              <w:t xml:space="preserve"> O DIRETTAMENTE DEL PRODOTTO.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856AE1" w:rsidRPr="00AE503E" w:rsidRDefault="00856AE1" w:rsidP="004D219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AE503E">
              <w:rPr>
                <w:u w:val="single"/>
              </w:rPr>
              <w:t>CONTROLLI VISIVI ULTERIORI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B60B69" w:rsidRPr="004D219C" w:rsidRDefault="00FA0799" w:rsidP="00B60B69">
            <w:pPr>
              <w:spacing w:after="60"/>
              <w:jc w:val="both"/>
            </w:pPr>
            <w:r w:rsidRPr="004D219C">
              <w:t>Sulla base di quanto previsto per i controlli visivi obbligatori è necessario che il distributore apra almeno una confezione per o</w:t>
            </w:r>
            <w:r w:rsidR="00AF3C65">
              <w:t xml:space="preserve">gni </w:t>
            </w:r>
            <w:r w:rsidR="00381113">
              <w:t>prodotto</w:t>
            </w:r>
            <w:r w:rsidRPr="004D219C">
              <w:t xml:space="preserve"> che pone in vendita e potrebbe essere opportuno registrare su una </w:t>
            </w:r>
            <w:proofErr w:type="spellStart"/>
            <w:r w:rsidRPr="004D219C">
              <w:t>check</w:t>
            </w:r>
            <w:proofErr w:type="spellEnd"/>
            <w:r w:rsidRPr="004D219C">
              <w:t xml:space="preserve"> list (vedi fac-simile in allegato alla scheda) i risultati </w:t>
            </w:r>
            <w:r w:rsidR="00856AE1">
              <w:t>di tale</w:t>
            </w:r>
            <w:r w:rsidR="00D15188" w:rsidRPr="004D219C">
              <w:t xml:space="preserve"> controllo, in modo da poterli</w:t>
            </w:r>
            <w:r w:rsidRPr="004D219C">
              <w:t xml:space="preserve"> opporre</w:t>
            </w:r>
            <w:r w:rsidR="00D15188" w:rsidRPr="004D219C">
              <w:t>,</w:t>
            </w:r>
            <w:r w:rsidRPr="004D219C">
              <w:t xml:space="preserve"> in caso di eventuali contestazioni</w:t>
            </w:r>
            <w:r w:rsidR="00D15188" w:rsidRPr="004D219C">
              <w:t xml:space="preserve">, </w:t>
            </w:r>
            <w:r w:rsidRPr="004D219C">
              <w:t>dimostrando così il proprio operato in aderenza alla norma.</w:t>
            </w:r>
          </w:p>
          <w:p w:rsidR="00856AE1" w:rsidRDefault="00856AE1" w:rsidP="00B60B69">
            <w:pPr>
              <w:spacing w:after="60"/>
              <w:jc w:val="both"/>
            </w:pPr>
            <w:r>
              <w:t>Ove l’esito dei controlli visivi obbligatori</w:t>
            </w:r>
            <w:r w:rsidR="00FA1C99">
              <w:t xml:space="preserve"> sia positivo è opportuno che</w:t>
            </w:r>
            <w:r w:rsidR="00BC05E8">
              <w:t xml:space="preserve"> comunque</w:t>
            </w:r>
            <w:r w:rsidR="00FA1C99">
              <w:t xml:space="preserve"> il distributore valuti i seguenti aspetti:</w:t>
            </w:r>
          </w:p>
          <w:p w:rsidR="006158C3" w:rsidRDefault="00FA1C99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>RAGIONEVOLE QUALITÀ DEI M</w:t>
            </w:r>
            <w:r w:rsidR="002C7C57">
              <w:t xml:space="preserve">ATERIALI: </w:t>
            </w:r>
            <w:r w:rsidR="006F0BA4">
              <w:t xml:space="preserve">i </w:t>
            </w:r>
            <w:r w:rsidR="00182498">
              <w:t xml:space="preserve">giocattoli </w:t>
            </w:r>
            <w:r w:rsidR="009412A1">
              <w:t>alimentati a batteria</w:t>
            </w:r>
            <w:r w:rsidR="00182498">
              <w:t xml:space="preserve"> </w:t>
            </w:r>
            <w:r w:rsidR="009412A1">
              <w:t xml:space="preserve">devono </w:t>
            </w:r>
            <w:r w:rsidR="00E4255D">
              <w:t>essere privi di bordi taglienti, punte e parti sporgenti in grado di arrecare danno all’utilizzatore</w:t>
            </w:r>
            <w:r w:rsidR="002C7C57">
              <w:t>,</w:t>
            </w:r>
            <w:r w:rsidR="00E4255D">
              <w:t xml:space="preserve"> devono inoltre essere esenti da alterazioni quali</w:t>
            </w:r>
            <w:r w:rsidR="002C7C57">
              <w:t xml:space="preserve"> fori, crepe, strappi, </w:t>
            </w:r>
            <w:r w:rsidR="00A42D7D">
              <w:t xml:space="preserve">sbavature e </w:t>
            </w:r>
            <w:r w:rsidR="002C7C57">
              <w:t xml:space="preserve">alterazioni del colore </w:t>
            </w:r>
            <w:r w:rsidR="00A42D7D">
              <w:t>o</w:t>
            </w:r>
            <w:r w:rsidR="002C7C57">
              <w:t xml:space="preserve"> simili difetti</w:t>
            </w:r>
            <w:r w:rsidR="00831983">
              <w:t xml:space="preserve"> </w:t>
            </w:r>
            <w:r w:rsidR="009412A1">
              <w:t>e, nel caso di prodotti destinati a bambini di età inferiore a i 36 mesi devono risultare</w:t>
            </w:r>
            <w:r w:rsidR="00813EC0">
              <w:t xml:space="preserve"> privi di accessori rimovibili </w:t>
            </w:r>
            <w:r w:rsidR="009412A1">
              <w:t>rientranti nelle piccole parti</w:t>
            </w:r>
            <w:r w:rsidR="006158C3">
              <w:t xml:space="preserve"> </w:t>
            </w:r>
            <w:r w:rsidR="006158C3">
              <w:t>La presenza dei suddetti difetti è da individuare come una non conformità del prodotto di cui deve essere impedita la commercializzazione.</w:t>
            </w:r>
          </w:p>
          <w:p w:rsidR="00FA1C99" w:rsidRDefault="006158C3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>REQUISITI TECNICI SPECIFICI:</w:t>
            </w:r>
            <w:r w:rsidR="00A42D7D">
              <w:t xml:space="preserve"> il vano batteria deve risultare inaccessibile </w:t>
            </w:r>
            <w:r w:rsidR="00960CBF">
              <w:t>ovvero</w:t>
            </w:r>
            <w:r w:rsidR="00A42D7D">
              <w:t xml:space="preserve"> richiede</w:t>
            </w:r>
            <w:r w:rsidR="00960CBF">
              <w:t>re</w:t>
            </w:r>
            <w:r w:rsidR="00A42D7D">
              <w:t xml:space="preserve"> l’intervent</w:t>
            </w:r>
            <w:r w:rsidR="005B218D">
              <w:t>o di un adulto per essere aperto</w:t>
            </w:r>
            <w:r w:rsidR="00A42D7D">
              <w:t xml:space="preserve"> (ad esempio con cacciavite). Stesso tipo di chiusura deve essere presente</w:t>
            </w:r>
            <w:r w:rsidR="00BD5B35">
              <w:t>,</w:t>
            </w:r>
            <w:r w:rsidR="00A42D7D">
              <w:t xml:space="preserve"> indipendentemente dall’età </w:t>
            </w:r>
            <w:r>
              <w:t xml:space="preserve">a </w:t>
            </w:r>
            <w:r w:rsidR="00A42D7D">
              <w:t>cui è destinato il giocattolo, nel caso in cui sia alimentato da batterie a bottone</w:t>
            </w:r>
            <w:r>
              <w:t>.</w:t>
            </w:r>
          </w:p>
          <w:p w:rsidR="00BC05E8" w:rsidRDefault="00BC05E8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 xml:space="preserve">ASPETTO GRAFICO DELLA MARCATURA CE: </w:t>
            </w:r>
            <w:r w:rsidR="004D1159">
              <w:t xml:space="preserve">spesso, quando la marcatura CE viene apposta in assenza dei dovuti controlli da parte del fabbricante risulta graficamente non conforme o apposta in maniera facilmente rimovibile. Il distributore è tenuto </w:t>
            </w:r>
            <w:r w:rsidR="009C3FFC">
              <w:t xml:space="preserve">dunque </w:t>
            </w:r>
            <w:r w:rsidR="004D1159">
              <w:t xml:space="preserve">a valutare che </w:t>
            </w:r>
            <w:r w:rsidR="009C3FFC">
              <w:t>siano rispettate le proporzioni seguenti , senza cioè palesi deformazioni</w:t>
            </w:r>
            <w:r w:rsidR="00236C55">
              <w:t xml:space="preserve"> </w:t>
            </w:r>
            <w:r w:rsidR="009C3FFC">
              <w:t>(ad esempio C ed E molto ravvicinati o allungati) e che il marchio</w:t>
            </w:r>
            <w:r w:rsidR="004D1159">
              <w:t xml:space="preserve"> abbi</w:t>
            </w:r>
            <w:r w:rsidR="009C3FFC">
              <w:t>a una dimensione minima di 5 mm:</w:t>
            </w:r>
          </w:p>
          <w:p w:rsidR="009C3FFC" w:rsidRDefault="000E6D6E" w:rsidP="009C3FFC">
            <w:pPr>
              <w:pStyle w:val="Paragrafoelenco"/>
              <w:autoSpaceDE w:val="0"/>
              <w:autoSpaceDN w:val="0"/>
              <w:adjustRightInd w:val="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9984" behindDoc="0" locked="0" layoutInCell="1" allowOverlap="1" wp14:anchorId="7FE74F78" wp14:editId="67E0BB62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-4445</wp:posOffset>
                  </wp:positionV>
                  <wp:extent cx="1181100" cy="699135"/>
                  <wp:effectExtent l="0" t="0" r="0" b="5715"/>
                  <wp:wrapNone/>
                  <wp:docPr id="13" name="Immagine 13" descr="V:\Tutela Consumatore\MetrLegale\Statistiche Metrologia\ce-ma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Tutela Consumatore\MetrLegale\Statistiche Metrologia\ce-ma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F3630B" w:rsidRDefault="00F3630B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F3630B" w:rsidRDefault="00F3630B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E4255D" w:rsidRDefault="00F3630B" w:rsidP="002D6A65">
            <w:pPr>
              <w:pStyle w:val="Paragrafoelenco"/>
              <w:autoSpaceDE w:val="0"/>
              <w:autoSpaceDN w:val="0"/>
              <w:adjustRightInd w:val="0"/>
            </w:pPr>
            <w:r>
              <w:t>Si ricorda che non sono ammessi marchi CE applicati al prod</w:t>
            </w:r>
            <w:r w:rsidR="00E4255D">
              <w:t>otto mediante etichette adesive</w:t>
            </w:r>
          </w:p>
          <w:p w:rsidR="00770DFD" w:rsidRDefault="008246D3" w:rsidP="006158C3">
            <w:pPr>
              <w:jc w:val="both"/>
            </w:pPr>
            <w:r>
              <w:t xml:space="preserve">SE UN PRODOTTO NON SUPERA IN MANIERA SODDISFACENTE TUTTI E </w:t>
            </w:r>
            <w:r w:rsidR="006158C3">
              <w:t>TRE</w:t>
            </w:r>
            <w:bookmarkStart w:id="0" w:name="_GoBack"/>
            <w:bookmarkEnd w:id="0"/>
            <w:r>
              <w:t xml:space="preserve"> I CONTROLLI PRECEDENTI</w:t>
            </w:r>
            <w:r w:rsidR="00494711">
              <w:t>,</w:t>
            </w:r>
            <w:r>
              <w:t xml:space="preserve"> E’ OPPORTUNO CHE </w:t>
            </w:r>
            <w:r w:rsidR="00494711">
              <w:t>IL</w:t>
            </w:r>
            <w:r>
              <w:t xml:space="preserve"> DISTRIBUTORE NON PROCEDA ALLA SUA MESSA IN VENDITA </w:t>
            </w:r>
            <w:r w:rsidR="00494711">
              <w:t>E CONTATTI SIA IL SUO FORNITORE CHE LA CAMERA DI COMMERCIO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lastRenderedPageBreak/>
              <w:t xml:space="preserve">Riferimenti alle norme comunitarie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9E612E" w:rsidRDefault="00297EA5" w:rsidP="00297EA5">
            <w:pPr>
              <w:jc w:val="both"/>
            </w:pPr>
            <w:r>
              <w:rPr>
                <w:b/>
              </w:rPr>
              <w:t>Direttiva</w:t>
            </w:r>
            <w:r w:rsidR="00BD7C49" w:rsidRPr="0049334B">
              <w:rPr>
                <w:b/>
              </w:rPr>
              <w:t xml:space="preserve"> </w:t>
            </w:r>
            <w:r>
              <w:rPr>
                <w:b/>
              </w:rPr>
              <w:t>2009/48/CE</w:t>
            </w:r>
            <w:r w:rsidR="00802B0F">
              <w:t xml:space="preserve"> </w:t>
            </w:r>
            <w:r w:rsidR="00802B0F" w:rsidRPr="009C3208">
              <w:t>(</w:t>
            </w:r>
            <w:r>
              <w:t>Sicurezza Giocattoli</w:t>
            </w:r>
            <w:r w:rsidR="00BD7C49">
              <w:t>)</w:t>
            </w:r>
          </w:p>
          <w:p w:rsidR="00D00B43" w:rsidRDefault="00D00B43" w:rsidP="00297EA5">
            <w:pPr>
              <w:jc w:val="both"/>
            </w:pPr>
            <w:r w:rsidRPr="00D00B43">
              <w:rPr>
                <w:b/>
              </w:rPr>
              <w:t>Direttiva 2014/30/UE</w:t>
            </w:r>
            <w:r>
              <w:t xml:space="preserve"> (Compatibilità elettromagnetica)</w:t>
            </w:r>
          </w:p>
          <w:p w:rsidR="00344DEA" w:rsidRDefault="00344DEA" w:rsidP="00297EA5">
            <w:pPr>
              <w:jc w:val="both"/>
            </w:pPr>
            <w:r w:rsidRPr="00010385">
              <w:rPr>
                <w:b/>
              </w:rPr>
              <w:t>Regolamento (CE) n.1907/2006</w:t>
            </w:r>
            <w:r>
              <w:t xml:space="preserve"> (REACH)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Riferimenti alle norme nazionali applicabili</w:t>
            </w:r>
          </w:p>
        </w:tc>
        <w:tc>
          <w:tcPr>
            <w:tcW w:w="3812" w:type="pct"/>
          </w:tcPr>
          <w:p w:rsidR="002A4A4E" w:rsidRDefault="00802B0F" w:rsidP="00297EA5">
            <w:pPr>
              <w:jc w:val="both"/>
              <w:rPr>
                <w:b/>
              </w:rPr>
            </w:pPr>
            <w:r w:rsidRPr="0049334B">
              <w:rPr>
                <w:b/>
              </w:rPr>
              <w:t xml:space="preserve">Decreto Legislativo </w:t>
            </w:r>
            <w:r w:rsidR="00297EA5">
              <w:rPr>
                <w:b/>
              </w:rPr>
              <w:t>11 aprile 2011, n. 54</w:t>
            </w:r>
          </w:p>
          <w:p w:rsidR="00D00B43" w:rsidRDefault="00D00B43" w:rsidP="00297EA5">
            <w:pPr>
              <w:jc w:val="both"/>
            </w:pPr>
            <w:r>
              <w:rPr>
                <w:b/>
              </w:rPr>
              <w:t>Decreto Legislativo 18 maggio 2016, n.80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 xml:space="preserve">Riferimenti alle norme tecniche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344DEA" w:rsidRDefault="00344DEA" w:rsidP="00344DEA">
            <w:pPr>
              <w:pStyle w:val="Paragrafoelenco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rPr>
                <w:b/>
              </w:rPr>
              <w:t>UNI EN 71-1:2018 “Sicurezza dei giocattoli – parte 1: Proprietà meccaniche e fisiche”</w:t>
            </w:r>
          </w:p>
          <w:p w:rsidR="00344DEA" w:rsidRDefault="00344DEA" w:rsidP="00344DEA">
            <w:pPr>
              <w:pStyle w:val="Paragrafoelenco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rPr>
                <w:b/>
              </w:rPr>
              <w:t>UNI EN 71-2:2021 “Sicurezza dei giocattoli – parte 2: Infiammabilità”</w:t>
            </w:r>
          </w:p>
          <w:p w:rsidR="00344DEA" w:rsidRDefault="00344DEA" w:rsidP="00344DEA">
            <w:pPr>
              <w:pStyle w:val="Paragrafoelenco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rPr>
                <w:b/>
              </w:rPr>
              <w:t>UNI EN 71-3:2021 “Sicurezza dei giocattoli – parte 3: Migrazione di alcuni elementi”</w:t>
            </w:r>
          </w:p>
          <w:p w:rsidR="00344DEA" w:rsidRDefault="00344DEA" w:rsidP="00344DEA">
            <w:pPr>
              <w:pStyle w:val="Paragrafoelenco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rPr>
                <w:b/>
              </w:rPr>
              <w:t xml:space="preserve">UNI </w:t>
            </w:r>
            <w:r w:rsidRPr="00010385">
              <w:rPr>
                <w:b/>
              </w:rPr>
              <w:t>EN 71-12:2017 – “Sicurezza dei Giocattoli – N-</w:t>
            </w:r>
            <w:proofErr w:type="spellStart"/>
            <w:r w:rsidRPr="00010385">
              <w:rPr>
                <w:b/>
              </w:rPr>
              <w:t>Nitrosammine</w:t>
            </w:r>
            <w:proofErr w:type="spellEnd"/>
            <w:r w:rsidRPr="00010385">
              <w:rPr>
                <w:b/>
              </w:rPr>
              <w:t xml:space="preserve"> e sostanze N- </w:t>
            </w:r>
            <w:proofErr w:type="spellStart"/>
            <w:r w:rsidRPr="00010385">
              <w:rPr>
                <w:b/>
              </w:rPr>
              <w:t>Nitrosabili</w:t>
            </w:r>
            <w:proofErr w:type="spellEnd"/>
            <w:r w:rsidRPr="00010385">
              <w:rPr>
                <w:b/>
              </w:rPr>
              <w:t>”</w:t>
            </w:r>
          </w:p>
          <w:p w:rsidR="00D00B43" w:rsidRPr="002A2C8E" w:rsidRDefault="00D00B43" w:rsidP="00344DEA">
            <w:pPr>
              <w:pStyle w:val="Paragrafoelenco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rPr>
                <w:b/>
              </w:rPr>
              <w:t xml:space="preserve">CEI EN IEC </w:t>
            </w:r>
            <w:r w:rsidRPr="00D00B43">
              <w:rPr>
                <w:b/>
              </w:rPr>
              <w:t>62115:2020</w:t>
            </w:r>
            <w:r>
              <w:rPr>
                <w:b/>
              </w:rPr>
              <w:t xml:space="preserve"> “Giocattoli elettrici – sicurezza”</w:t>
            </w:r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  <w:r>
              <w:t>Riferimento sito esplicativo</w:t>
            </w:r>
          </w:p>
        </w:tc>
        <w:tc>
          <w:tcPr>
            <w:tcW w:w="3812" w:type="pct"/>
          </w:tcPr>
          <w:p w:rsidR="00802B0F" w:rsidRPr="00933694" w:rsidRDefault="006158C3" w:rsidP="00BD5B35">
            <w:pPr>
              <w:ind w:left="35"/>
              <w:jc w:val="both"/>
              <w:rPr>
                <w:b/>
              </w:rPr>
            </w:pPr>
            <w:hyperlink r:id="rId16" w:history="1">
              <w:r w:rsidR="00802B0F" w:rsidRPr="00DE5149">
                <w:rPr>
                  <w:rStyle w:val="Collegamentoipertestuale"/>
                  <w:b/>
                </w:rPr>
                <w:t>https://europa.eu/youreurope/business/product-requirements/compliance/index_it.htm?pk_campaign=SDG&amp;pk_kwd=launch&amp;pk_source=sea&amp;pk_medium=search&amp;pk_content=compliance</w:t>
              </w:r>
            </w:hyperlink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  <w:r>
              <w:t>Sanzioni comminabili al distributore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>
              <w:t>Poiché ai sensi dell’art.</w:t>
            </w:r>
            <w:r w:rsidR="00426CE6">
              <w:t xml:space="preserve"> </w:t>
            </w:r>
            <w:r w:rsidR="001F7EC2">
              <w:t>6</w:t>
            </w:r>
            <w:r>
              <w:t xml:space="preserve"> del </w:t>
            </w:r>
            <w:proofErr w:type="spellStart"/>
            <w:r w:rsidR="001F7EC2">
              <w:t>D.Lgs</w:t>
            </w:r>
            <w:proofErr w:type="spellEnd"/>
            <w:r w:rsidR="001F7EC2">
              <w:t xml:space="preserve"> 54/2011</w:t>
            </w:r>
            <w:r>
              <w:t xml:space="preserve"> i distributori prima di mettere </w:t>
            </w:r>
            <w:r w:rsidR="001F7EC2">
              <w:t>giocattoli</w:t>
            </w:r>
            <w:r>
              <w:t xml:space="preserve"> a disposizione</w:t>
            </w:r>
            <w:r w:rsidR="00933CD4">
              <w:t xml:space="preserve"> sul mercato assicurano che essi</w:t>
            </w:r>
            <w:r>
              <w:t>: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la marcatura CE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sia</w:t>
            </w:r>
            <w:r w:rsidR="00933CD4">
              <w:t>no accompagnati</w:t>
            </w:r>
            <w:r>
              <w:t xml:space="preserve"> dalla documentazione richiesta, nonché da istruzioni e informazioni sulla sicu</w:t>
            </w:r>
            <w:r w:rsidR="00494711">
              <w:t>rezza in lingua italiana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gli estremi del fabbricante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gli estremi dell’importatore (se applicabile)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un codice identificativo</w:t>
            </w:r>
          </w:p>
          <w:p w:rsidR="00802B0F" w:rsidRDefault="00802B0F" w:rsidP="00CF4B55">
            <w:pPr>
              <w:jc w:val="both"/>
            </w:pPr>
          </w:p>
          <w:p w:rsidR="00D526C4" w:rsidRDefault="00D526C4" w:rsidP="00D526C4">
            <w:pPr>
              <w:jc w:val="both"/>
            </w:pPr>
            <w:r>
              <w:t xml:space="preserve">il mancato rispetto degli obblighi precedenti da parte di un distributore è punito con una sanzione amministrativa pecuniaria da </w:t>
            </w:r>
            <w:r w:rsidR="003307B4" w:rsidRPr="003307B4">
              <w:rPr>
                <w:b/>
              </w:rPr>
              <w:t>1</w:t>
            </w:r>
            <w:r w:rsidR="0049334B">
              <w:rPr>
                <w:b/>
              </w:rPr>
              <w:t>.</w:t>
            </w:r>
            <w:r w:rsidR="002C2164">
              <w:rPr>
                <w:b/>
              </w:rPr>
              <w:t>500</w:t>
            </w:r>
            <w:r>
              <w:rPr>
                <w:b/>
              </w:rPr>
              <w:t xml:space="preserve"> € </w:t>
            </w:r>
            <w:r>
              <w:t>a</w:t>
            </w:r>
            <w:r>
              <w:rPr>
                <w:b/>
              </w:rPr>
              <w:t xml:space="preserve"> </w:t>
            </w:r>
            <w:r w:rsidR="002C2164">
              <w:rPr>
                <w:b/>
              </w:rPr>
              <w:t>10</w:t>
            </w:r>
            <w:r>
              <w:rPr>
                <w:b/>
              </w:rPr>
              <w:t>.000 €</w:t>
            </w:r>
            <w:r>
              <w:t xml:space="preserve"> (Art.</w:t>
            </w:r>
            <w:r w:rsidR="002C2164">
              <w:t xml:space="preserve">31.7 del </w:t>
            </w:r>
            <w:proofErr w:type="spellStart"/>
            <w:r w:rsidR="002C2164">
              <w:t>D.Lgs</w:t>
            </w:r>
            <w:proofErr w:type="spellEnd"/>
            <w:r w:rsidR="002C2164">
              <w:t xml:space="preserve"> 54/2011</w:t>
            </w:r>
            <w:r>
              <w:t>).</w:t>
            </w:r>
          </w:p>
          <w:p w:rsidR="00802B0F" w:rsidRDefault="00802B0F" w:rsidP="00CF4B55">
            <w:pPr>
              <w:jc w:val="both"/>
            </w:pPr>
          </w:p>
          <w:p w:rsidR="00802B0F" w:rsidRDefault="009E612E" w:rsidP="002C2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t>S</w:t>
            </w:r>
            <w:r w:rsidR="00802B0F">
              <w:t>alvo che il fatto costituisca reato, il distributore che effettua la messa a disposizione sul mercato di pr</w:t>
            </w:r>
            <w:r w:rsidR="003307B4">
              <w:t>odotti</w:t>
            </w:r>
            <w:r w:rsidR="00802B0F">
              <w:t xml:space="preserve"> in violazione di un provvedimento di divieto emesso dall’Autorità di vigilanza, è soggetto ad una sanzione amministrativa pecuniaria di una somma da </w:t>
            </w:r>
            <w:r w:rsidR="002C2164">
              <w:rPr>
                <w:b/>
              </w:rPr>
              <w:t>10.000</w:t>
            </w:r>
            <w:r w:rsidR="00802B0F" w:rsidRPr="00DA05AC">
              <w:rPr>
                <w:b/>
              </w:rPr>
              <w:t xml:space="preserve"> € </w:t>
            </w:r>
            <w:r w:rsidR="00802B0F" w:rsidRPr="00DA05AC">
              <w:t>a</w:t>
            </w:r>
            <w:r w:rsidR="00802B0F" w:rsidRPr="00DA05AC">
              <w:rPr>
                <w:b/>
              </w:rPr>
              <w:t xml:space="preserve"> </w:t>
            </w:r>
            <w:r w:rsidR="002C2164">
              <w:rPr>
                <w:b/>
              </w:rPr>
              <w:t>50</w:t>
            </w:r>
            <w:r w:rsidR="003307B4">
              <w:rPr>
                <w:b/>
              </w:rPr>
              <w:t>.000</w:t>
            </w:r>
            <w:r w:rsidR="00802B0F" w:rsidRPr="00DA05AC">
              <w:rPr>
                <w:b/>
              </w:rPr>
              <w:t xml:space="preserve"> € </w:t>
            </w:r>
            <w:r w:rsidR="003307B4">
              <w:t>(</w:t>
            </w:r>
            <w:r w:rsidR="002C2164">
              <w:t xml:space="preserve">Art.31.2 del </w:t>
            </w:r>
            <w:proofErr w:type="spellStart"/>
            <w:r w:rsidR="002C2164">
              <w:t>D.Lgs</w:t>
            </w:r>
            <w:proofErr w:type="spellEnd"/>
            <w:r w:rsidR="002C2164">
              <w:t xml:space="preserve"> 54/2011</w:t>
            </w:r>
            <w:r w:rsidR="0007490D">
              <w:t>)</w:t>
            </w:r>
            <w:r w:rsidR="0007490D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2C2164" w:rsidRDefault="002C2164" w:rsidP="003307B4">
            <w:pP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2C2164" w:rsidRPr="002C2164" w:rsidRDefault="002C2164" w:rsidP="002C2164">
            <w:pPr>
              <w:jc w:val="both"/>
            </w:pPr>
            <w:r w:rsidRPr="002C2164">
              <w:t>Salvo che il fa</w:t>
            </w:r>
            <w:r>
              <w:t>tto costituisca reato</w:t>
            </w:r>
            <w:r w:rsidR="00F814E3">
              <w:t>,</w:t>
            </w:r>
            <w:r>
              <w:t xml:space="preserve"> il distributore che n</w:t>
            </w:r>
            <w:r w:rsidR="00F814E3">
              <w:t>on fornisce, su richiesta, all’A</w:t>
            </w:r>
            <w:r>
              <w:t>utorità di vigilanza, le informazioni relative agli operatori economici che gli hanno fornito un giocattolo</w:t>
            </w:r>
            <w:r w:rsidR="00F814E3">
              <w:t xml:space="preserve"> o non conserva tali dati per un periodo di almeno dieci anni dall’ultima fornitura è soggetto ad una sanzione da </w:t>
            </w:r>
            <w:r w:rsidR="00F814E3" w:rsidRPr="00F814E3">
              <w:rPr>
                <w:b/>
              </w:rPr>
              <w:t>2.500</w:t>
            </w:r>
            <w:r w:rsidR="00F814E3">
              <w:t xml:space="preserve"> </w:t>
            </w:r>
            <w:r w:rsidR="00F814E3" w:rsidRPr="00F814E3">
              <w:rPr>
                <w:b/>
              </w:rPr>
              <w:t>€</w:t>
            </w:r>
            <w:r w:rsidR="00F814E3">
              <w:t xml:space="preserve"> a </w:t>
            </w:r>
            <w:r w:rsidR="00F814E3" w:rsidRPr="00F814E3">
              <w:rPr>
                <w:b/>
              </w:rPr>
              <w:t>10.000 €</w:t>
            </w:r>
            <w:r w:rsidR="00F814E3">
              <w:t xml:space="preserve"> (art. 31.8 del </w:t>
            </w:r>
            <w:proofErr w:type="spellStart"/>
            <w:r w:rsidR="00F814E3">
              <w:t>D.Lgs.</w:t>
            </w:r>
            <w:proofErr w:type="spellEnd"/>
            <w:r w:rsidR="00F814E3">
              <w:t xml:space="preserve"> 54/2011)</w:t>
            </w:r>
          </w:p>
          <w:p w:rsidR="00344DEA" w:rsidRDefault="00344DEA" w:rsidP="00F814E3">
            <w:pPr>
              <w:jc w:val="both"/>
              <w:rPr>
                <w:b/>
              </w:rPr>
            </w:pPr>
          </w:p>
          <w:p w:rsidR="00802B0F" w:rsidRDefault="00802B0F" w:rsidP="00F814E3">
            <w:pPr>
              <w:jc w:val="both"/>
            </w:pPr>
            <w:r w:rsidRPr="0058194D">
              <w:rPr>
                <w:b/>
              </w:rPr>
              <w:t>NOTA</w:t>
            </w:r>
            <w:r>
              <w:t xml:space="preserve">: un distributore </w:t>
            </w:r>
            <w:r w:rsidRPr="00467FC1">
              <w:rPr>
                <w:b/>
              </w:rPr>
              <w:t>è soggetto direttamente agli obblighi del fabbricante ed è ritenuto tale</w:t>
            </w:r>
            <w:r>
              <w:t xml:space="preserve"> ai fini del </w:t>
            </w:r>
            <w:proofErr w:type="spellStart"/>
            <w:r w:rsidR="00F814E3">
              <w:t>D.Lgs.</w:t>
            </w:r>
            <w:proofErr w:type="spellEnd"/>
            <w:r w:rsidR="00F814E3">
              <w:t xml:space="preserve"> 54/2011</w:t>
            </w:r>
            <w:r>
              <w:t xml:space="preserve">, nel caso in cui immetta sul mercato </w:t>
            </w:r>
            <w:r w:rsidR="00F814E3">
              <w:t>giocattoli</w:t>
            </w:r>
            <w:r>
              <w:t xml:space="preserve"> con il proprio nome o marchio commerciale, o modifichi suddetto materiale già immesso sul mercato in modo da poterne condizionare la conformità</w:t>
            </w:r>
          </w:p>
        </w:tc>
      </w:tr>
    </w:tbl>
    <w:p w:rsidR="00802B0F" w:rsidRDefault="00802B0F" w:rsidP="00BD5B35"/>
    <w:sectPr w:rsidR="00802B0F" w:rsidSect="00802B0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C80"/>
    <w:multiLevelType w:val="hybridMultilevel"/>
    <w:tmpl w:val="ED381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41639"/>
    <w:multiLevelType w:val="hybridMultilevel"/>
    <w:tmpl w:val="6D9A4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52AD1"/>
    <w:multiLevelType w:val="hybridMultilevel"/>
    <w:tmpl w:val="B29A7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34D1B"/>
    <w:multiLevelType w:val="hybridMultilevel"/>
    <w:tmpl w:val="78643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5340B"/>
    <w:multiLevelType w:val="hybridMultilevel"/>
    <w:tmpl w:val="AB742B96"/>
    <w:lvl w:ilvl="0" w:tplc="0C7E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F78C1"/>
    <w:multiLevelType w:val="hybridMultilevel"/>
    <w:tmpl w:val="26668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E582C"/>
    <w:multiLevelType w:val="hybridMultilevel"/>
    <w:tmpl w:val="94F4E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1008"/>
    <w:multiLevelType w:val="hybridMultilevel"/>
    <w:tmpl w:val="6F0A3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F5CCC"/>
    <w:multiLevelType w:val="hybridMultilevel"/>
    <w:tmpl w:val="77A0A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3517C"/>
    <w:multiLevelType w:val="hybridMultilevel"/>
    <w:tmpl w:val="80EC6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4360E"/>
    <w:multiLevelType w:val="hybridMultilevel"/>
    <w:tmpl w:val="D0E80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42247"/>
    <w:multiLevelType w:val="hybridMultilevel"/>
    <w:tmpl w:val="51326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A2630"/>
    <w:multiLevelType w:val="hybridMultilevel"/>
    <w:tmpl w:val="6D8CF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01746"/>
    <w:multiLevelType w:val="hybridMultilevel"/>
    <w:tmpl w:val="3984E98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DD40E92"/>
    <w:multiLevelType w:val="hybridMultilevel"/>
    <w:tmpl w:val="4B00C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B088A"/>
    <w:multiLevelType w:val="hybridMultilevel"/>
    <w:tmpl w:val="6A8AC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0094D"/>
    <w:multiLevelType w:val="hybridMultilevel"/>
    <w:tmpl w:val="E6D2C5F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4FFB1A54"/>
    <w:multiLevelType w:val="hybridMultilevel"/>
    <w:tmpl w:val="944A8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70B42"/>
    <w:multiLevelType w:val="hybridMultilevel"/>
    <w:tmpl w:val="070CB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83AD4"/>
    <w:multiLevelType w:val="hybridMultilevel"/>
    <w:tmpl w:val="46D0F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713985"/>
    <w:multiLevelType w:val="hybridMultilevel"/>
    <w:tmpl w:val="E6B65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26EEB"/>
    <w:multiLevelType w:val="hybridMultilevel"/>
    <w:tmpl w:val="EECC8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F0FE4"/>
    <w:multiLevelType w:val="hybridMultilevel"/>
    <w:tmpl w:val="BD7A974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6F3D59CD"/>
    <w:multiLevelType w:val="hybridMultilevel"/>
    <w:tmpl w:val="BB32F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C766D"/>
    <w:multiLevelType w:val="hybridMultilevel"/>
    <w:tmpl w:val="71FA1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1"/>
  </w:num>
  <w:num w:numId="4">
    <w:abstractNumId w:val="20"/>
  </w:num>
  <w:num w:numId="5">
    <w:abstractNumId w:val="2"/>
  </w:num>
  <w:num w:numId="6">
    <w:abstractNumId w:val="21"/>
  </w:num>
  <w:num w:numId="7">
    <w:abstractNumId w:val="16"/>
  </w:num>
  <w:num w:numId="8">
    <w:abstractNumId w:val="13"/>
  </w:num>
  <w:num w:numId="9">
    <w:abstractNumId w:val="22"/>
  </w:num>
  <w:num w:numId="10">
    <w:abstractNumId w:val="4"/>
  </w:num>
  <w:num w:numId="11">
    <w:abstractNumId w:val="8"/>
  </w:num>
  <w:num w:numId="12">
    <w:abstractNumId w:val="15"/>
  </w:num>
  <w:num w:numId="13">
    <w:abstractNumId w:val="7"/>
  </w:num>
  <w:num w:numId="14">
    <w:abstractNumId w:val="5"/>
  </w:num>
  <w:num w:numId="15">
    <w:abstractNumId w:val="14"/>
  </w:num>
  <w:num w:numId="16">
    <w:abstractNumId w:val="6"/>
  </w:num>
  <w:num w:numId="17">
    <w:abstractNumId w:val="3"/>
  </w:num>
  <w:num w:numId="18">
    <w:abstractNumId w:val="24"/>
  </w:num>
  <w:num w:numId="19">
    <w:abstractNumId w:val="10"/>
  </w:num>
  <w:num w:numId="20">
    <w:abstractNumId w:val="12"/>
  </w:num>
  <w:num w:numId="21">
    <w:abstractNumId w:val="19"/>
  </w:num>
  <w:num w:numId="22">
    <w:abstractNumId w:val="17"/>
  </w:num>
  <w:num w:numId="23">
    <w:abstractNumId w:val="0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0F"/>
    <w:rsid w:val="000259D6"/>
    <w:rsid w:val="000347F2"/>
    <w:rsid w:val="00046B05"/>
    <w:rsid w:val="00052AEA"/>
    <w:rsid w:val="00064BDA"/>
    <w:rsid w:val="000670D1"/>
    <w:rsid w:val="00067C49"/>
    <w:rsid w:val="0007490D"/>
    <w:rsid w:val="000759AA"/>
    <w:rsid w:val="00076459"/>
    <w:rsid w:val="000819FE"/>
    <w:rsid w:val="000A01B1"/>
    <w:rsid w:val="000A6908"/>
    <w:rsid w:val="000B2323"/>
    <w:rsid w:val="000B24F0"/>
    <w:rsid w:val="000B363E"/>
    <w:rsid w:val="000E6D6E"/>
    <w:rsid w:val="000F021D"/>
    <w:rsid w:val="001118F3"/>
    <w:rsid w:val="0011493D"/>
    <w:rsid w:val="00115429"/>
    <w:rsid w:val="00122A0E"/>
    <w:rsid w:val="00123C2E"/>
    <w:rsid w:val="0012668B"/>
    <w:rsid w:val="00126C62"/>
    <w:rsid w:val="0014680B"/>
    <w:rsid w:val="001605A5"/>
    <w:rsid w:val="00167FA6"/>
    <w:rsid w:val="00175BD5"/>
    <w:rsid w:val="00180B41"/>
    <w:rsid w:val="00182498"/>
    <w:rsid w:val="001A2D7E"/>
    <w:rsid w:val="001A76D5"/>
    <w:rsid w:val="001B710B"/>
    <w:rsid w:val="001C1ECA"/>
    <w:rsid w:val="001D0C2B"/>
    <w:rsid w:val="001D1854"/>
    <w:rsid w:val="001E733C"/>
    <w:rsid w:val="001F7EC2"/>
    <w:rsid w:val="00200CCB"/>
    <w:rsid w:val="00202B97"/>
    <w:rsid w:val="00213A07"/>
    <w:rsid w:val="00236C55"/>
    <w:rsid w:val="002439B3"/>
    <w:rsid w:val="002607E3"/>
    <w:rsid w:val="002635EB"/>
    <w:rsid w:val="00272345"/>
    <w:rsid w:val="002843ED"/>
    <w:rsid w:val="0029037C"/>
    <w:rsid w:val="00294A11"/>
    <w:rsid w:val="00297EA5"/>
    <w:rsid w:val="002A2C8E"/>
    <w:rsid w:val="002A4A4E"/>
    <w:rsid w:val="002B2230"/>
    <w:rsid w:val="002B7BA3"/>
    <w:rsid w:val="002C2164"/>
    <w:rsid w:val="002C7C57"/>
    <w:rsid w:val="002D150C"/>
    <w:rsid w:val="002D507D"/>
    <w:rsid w:val="002D6A65"/>
    <w:rsid w:val="002E6D5F"/>
    <w:rsid w:val="002F0BFA"/>
    <w:rsid w:val="00301C1C"/>
    <w:rsid w:val="003046FA"/>
    <w:rsid w:val="0031172D"/>
    <w:rsid w:val="003307B4"/>
    <w:rsid w:val="00331F6C"/>
    <w:rsid w:val="00344DEA"/>
    <w:rsid w:val="003512D0"/>
    <w:rsid w:val="00360B05"/>
    <w:rsid w:val="0036107B"/>
    <w:rsid w:val="003728E3"/>
    <w:rsid w:val="00377B27"/>
    <w:rsid w:val="00381113"/>
    <w:rsid w:val="003A3BBF"/>
    <w:rsid w:val="003B1E06"/>
    <w:rsid w:val="003B48F5"/>
    <w:rsid w:val="003B4B49"/>
    <w:rsid w:val="003B6537"/>
    <w:rsid w:val="003C018F"/>
    <w:rsid w:val="003C6011"/>
    <w:rsid w:val="003C702E"/>
    <w:rsid w:val="003D2C7B"/>
    <w:rsid w:val="003D749F"/>
    <w:rsid w:val="003E6B76"/>
    <w:rsid w:val="003F70D5"/>
    <w:rsid w:val="0040230C"/>
    <w:rsid w:val="00402EE3"/>
    <w:rsid w:val="00417962"/>
    <w:rsid w:val="00422BF1"/>
    <w:rsid w:val="00426CE6"/>
    <w:rsid w:val="00442588"/>
    <w:rsid w:val="00443E3E"/>
    <w:rsid w:val="00456613"/>
    <w:rsid w:val="0046515B"/>
    <w:rsid w:val="0049334B"/>
    <w:rsid w:val="00494711"/>
    <w:rsid w:val="004A20A2"/>
    <w:rsid w:val="004A4960"/>
    <w:rsid w:val="004B5DB3"/>
    <w:rsid w:val="004D1159"/>
    <w:rsid w:val="004D219C"/>
    <w:rsid w:val="00506D86"/>
    <w:rsid w:val="0052084E"/>
    <w:rsid w:val="00520D19"/>
    <w:rsid w:val="0054430E"/>
    <w:rsid w:val="0055243B"/>
    <w:rsid w:val="0055798B"/>
    <w:rsid w:val="00575E2E"/>
    <w:rsid w:val="00585A94"/>
    <w:rsid w:val="005900CE"/>
    <w:rsid w:val="005B218D"/>
    <w:rsid w:val="005C1391"/>
    <w:rsid w:val="005E4424"/>
    <w:rsid w:val="005F3865"/>
    <w:rsid w:val="005F6EF7"/>
    <w:rsid w:val="00600ED0"/>
    <w:rsid w:val="006112A9"/>
    <w:rsid w:val="006158C3"/>
    <w:rsid w:val="006234E9"/>
    <w:rsid w:val="00624ECA"/>
    <w:rsid w:val="006254B7"/>
    <w:rsid w:val="00644E2C"/>
    <w:rsid w:val="006650C4"/>
    <w:rsid w:val="00695593"/>
    <w:rsid w:val="00695FC3"/>
    <w:rsid w:val="006B49F5"/>
    <w:rsid w:val="006B5728"/>
    <w:rsid w:val="006C3FD4"/>
    <w:rsid w:val="006D500D"/>
    <w:rsid w:val="006F0BA4"/>
    <w:rsid w:val="00700C34"/>
    <w:rsid w:val="00701375"/>
    <w:rsid w:val="007032B6"/>
    <w:rsid w:val="007101B0"/>
    <w:rsid w:val="00710C8E"/>
    <w:rsid w:val="0071674E"/>
    <w:rsid w:val="0073588F"/>
    <w:rsid w:val="00743F9A"/>
    <w:rsid w:val="00744658"/>
    <w:rsid w:val="0075356D"/>
    <w:rsid w:val="00770DFD"/>
    <w:rsid w:val="00776B28"/>
    <w:rsid w:val="007804B2"/>
    <w:rsid w:val="00784AC8"/>
    <w:rsid w:val="007930F5"/>
    <w:rsid w:val="007B04E7"/>
    <w:rsid w:val="007C46A8"/>
    <w:rsid w:val="007D2794"/>
    <w:rsid w:val="007D5E32"/>
    <w:rsid w:val="007E1376"/>
    <w:rsid w:val="007E330D"/>
    <w:rsid w:val="007E68B4"/>
    <w:rsid w:val="00802B0F"/>
    <w:rsid w:val="00804649"/>
    <w:rsid w:val="008100A8"/>
    <w:rsid w:val="008110F4"/>
    <w:rsid w:val="00813EC0"/>
    <w:rsid w:val="008161AD"/>
    <w:rsid w:val="00817606"/>
    <w:rsid w:val="008246D3"/>
    <w:rsid w:val="00824B41"/>
    <w:rsid w:val="00827CF2"/>
    <w:rsid w:val="00830564"/>
    <w:rsid w:val="00831983"/>
    <w:rsid w:val="00856AE1"/>
    <w:rsid w:val="008574BA"/>
    <w:rsid w:val="00861139"/>
    <w:rsid w:val="00864669"/>
    <w:rsid w:val="008746FA"/>
    <w:rsid w:val="00881531"/>
    <w:rsid w:val="008924FA"/>
    <w:rsid w:val="008A0296"/>
    <w:rsid w:val="008A4169"/>
    <w:rsid w:val="008E35DE"/>
    <w:rsid w:val="008E770E"/>
    <w:rsid w:val="008F5D39"/>
    <w:rsid w:val="00900300"/>
    <w:rsid w:val="00903CC0"/>
    <w:rsid w:val="009105A1"/>
    <w:rsid w:val="00914C83"/>
    <w:rsid w:val="00930BB0"/>
    <w:rsid w:val="00933C19"/>
    <w:rsid w:val="00933CD4"/>
    <w:rsid w:val="009412A1"/>
    <w:rsid w:val="00941FEA"/>
    <w:rsid w:val="00960CBF"/>
    <w:rsid w:val="00964C0E"/>
    <w:rsid w:val="009704C7"/>
    <w:rsid w:val="009A0C5F"/>
    <w:rsid w:val="009A4E18"/>
    <w:rsid w:val="009C0A74"/>
    <w:rsid w:val="009C3FFC"/>
    <w:rsid w:val="009D6977"/>
    <w:rsid w:val="009E3DB2"/>
    <w:rsid w:val="009E612E"/>
    <w:rsid w:val="00A003D2"/>
    <w:rsid w:val="00A0693F"/>
    <w:rsid w:val="00A118F8"/>
    <w:rsid w:val="00A11DFE"/>
    <w:rsid w:val="00A2415D"/>
    <w:rsid w:val="00A26185"/>
    <w:rsid w:val="00A30EF1"/>
    <w:rsid w:val="00A31821"/>
    <w:rsid w:val="00A3713B"/>
    <w:rsid w:val="00A42D7D"/>
    <w:rsid w:val="00A65C79"/>
    <w:rsid w:val="00A6763E"/>
    <w:rsid w:val="00A72F8A"/>
    <w:rsid w:val="00AA19ED"/>
    <w:rsid w:val="00AA425C"/>
    <w:rsid w:val="00AC31F4"/>
    <w:rsid w:val="00AC6EDC"/>
    <w:rsid w:val="00AD1ED3"/>
    <w:rsid w:val="00AD3295"/>
    <w:rsid w:val="00AD3FFC"/>
    <w:rsid w:val="00AE1AC2"/>
    <w:rsid w:val="00AE2422"/>
    <w:rsid w:val="00AE2566"/>
    <w:rsid w:val="00AE2AEC"/>
    <w:rsid w:val="00AE2EC5"/>
    <w:rsid w:val="00AE442C"/>
    <w:rsid w:val="00AE4E8E"/>
    <w:rsid w:val="00AE503E"/>
    <w:rsid w:val="00AF3C65"/>
    <w:rsid w:val="00AF714E"/>
    <w:rsid w:val="00AF7C2C"/>
    <w:rsid w:val="00B07042"/>
    <w:rsid w:val="00B11521"/>
    <w:rsid w:val="00B26C33"/>
    <w:rsid w:val="00B42ED4"/>
    <w:rsid w:val="00B46074"/>
    <w:rsid w:val="00B57585"/>
    <w:rsid w:val="00B60B69"/>
    <w:rsid w:val="00B63ABE"/>
    <w:rsid w:val="00B73B67"/>
    <w:rsid w:val="00B7640C"/>
    <w:rsid w:val="00B83E4F"/>
    <w:rsid w:val="00BA207C"/>
    <w:rsid w:val="00BA5289"/>
    <w:rsid w:val="00BB1C7B"/>
    <w:rsid w:val="00BC05E8"/>
    <w:rsid w:val="00BD5B35"/>
    <w:rsid w:val="00BD7C49"/>
    <w:rsid w:val="00BE7ED7"/>
    <w:rsid w:val="00C146BA"/>
    <w:rsid w:val="00C200E1"/>
    <w:rsid w:val="00C25C49"/>
    <w:rsid w:val="00C34F5D"/>
    <w:rsid w:val="00C37B51"/>
    <w:rsid w:val="00C438AC"/>
    <w:rsid w:val="00C43E63"/>
    <w:rsid w:val="00C460E0"/>
    <w:rsid w:val="00C55A77"/>
    <w:rsid w:val="00C711BF"/>
    <w:rsid w:val="00C8149A"/>
    <w:rsid w:val="00C9636F"/>
    <w:rsid w:val="00CA2DC0"/>
    <w:rsid w:val="00CA4860"/>
    <w:rsid w:val="00CB0C52"/>
    <w:rsid w:val="00CB775D"/>
    <w:rsid w:val="00CC3FC4"/>
    <w:rsid w:val="00CE25C4"/>
    <w:rsid w:val="00CF4B55"/>
    <w:rsid w:val="00D00B43"/>
    <w:rsid w:val="00D014CD"/>
    <w:rsid w:val="00D116E8"/>
    <w:rsid w:val="00D14B4E"/>
    <w:rsid w:val="00D15188"/>
    <w:rsid w:val="00D31113"/>
    <w:rsid w:val="00D526C4"/>
    <w:rsid w:val="00D62429"/>
    <w:rsid w:val="00D814BC"/>
    <w:rsid w:val="00D8765B"/>
    <w:rsid w:val="00D95470"/>
    <w:rsid w:val="00DA4672"/>
    <w:rsid w:val="00DB1BC9"/>
    <w:rsid w:val="00DD287B"/>
    <w:rsid w:val="00DD54C6"/>
    <w:rsid w:val="00DE021D"/>
    <w:rsid w:val="00DE26D6"/>
    <w:rsid w:val="00DE3D31"/>
    <w:rsid w:val="00DF260E"/>
    <w:rsid w:val="00E27451"/>
    <w:rsid w:val="00E37FBF"/>
    <w:rsid w:val="00E4255D"/>
    <w:rsid w:val="00E54A78"/>
    <w:rsid w:val="00E5774A"/>
    <w:rsid w:val="00E65AE2"/>
    <w:rsid w:val="00E66D16"/>
    <w:rsid w:val="00E67762"/>
    <w:rsid w:val="00E8023F"/>
    <w:rsid w:val="00E95F11"/>
    <w:rsid w:val="00EB3D9D"/>
    <w:rsid w:val="00EC1BCF"/>
    <w:rsid w:val="00EC2B35"/>
    <w:rsid w:val="00EC2DA6"/>
    <w:rsid w:val="00EC3CC9"/>
    <w:rsid w:val="00ED0555"/>
    <w:rsid w:val="00ED6C3D"/>
    <w:rsid w:val="00EE1542"/>
    <w:rsid w:val="00F119B9"/>
    <w:rsid w:val="00F13245"/>
    <w:rsid w:val="00F148DA"/>
    <w:rsid w:val="00F2042A"/>
    <w:rsid w:val="00F2045D"/>
    <w:rsid w:val="00F3188C"/>
    <w:rsid w:val="00F332AD"/>
    <w:rsid w:val="00F3630B"/>
    <w:rsid w:val="00F44863"/>
    <w:rsid w:val="00F47E27"/>
    <w:rsid w:val="00F814E3"/>
    <w:rsid w:val="00F91517"/>
    <w:rsid w:val="00F937B9"/>
    <w:rsid w:val="00F945C1"/>
    <w:rsid w:val="00FA0799"/>
    <w:rsid w:val="00FA1C99"/>
    <w:rsid w:val="00FB48E2"/>
    <w:rsid w:val="00FC32A0"/>
    <w:rsid w:val="00F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uropa.eu/youreurope/business/product-requirements/compliance/index_it.htm?pk_campaign=SDG&amp;pk_kwd=launch&amp;pk_source=sea&amp;pk_medium=search&amp;pk_content=complian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2C600-C21E-4527-89CF-FB8F2610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15014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Pampaloni</dc:creator>
  <cp:lastModifiedBy>Lorenzo Pampaloni</cp:lastModifiedBy>
  <cp:revision>11</cp:revision>
  <dcterms:created xsi:type="dcterms:W3CDTF">2023-02-03T14:18:00Z</dcterms:created>
  <dcterms:modified xsi:type="dcterms:W3CDTF">2023-02-22T15:22:00Z</dcterms:modified>
</cp:coreProperties>
</file>