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450" w:type="pct"/>
        <w:tblInd w:w="-459" w:type="dxa"/>
        <w:tblLayout w:type="fixed"/>
        <w:tblLook w:val="04A0" w:firstRow="1" w:lastRow="0" w:firstColumn="1" w:lastColumn="0" w:noHBand="0" w:noVBand="1"/>
      </w:tblPr>
      <w:tblGrid>
        <w:gridCol w:w="3756"/>
        <w:gridCol w:w="12052"/>
      </w:tblGrid>
      <w:tr w:rsidR="00802B0F" w:rsidTr="00CF4B55">
        <w:tc>
          <w:tcPr>
            <w:tcW w:w="1188" w:type="pct"/>
          </w:tcPr>
          <w:p w:rsidR="00802B0F" w:rsidRPr="009C3208" w:rsidRDefault="00802B0F" w:rsidP="00CF4B55">
            <w:pPr>
              <w:jc w:val="both"/>
            </w:pPr>
            <w:r>
              <w:t>INDICE</w:t>
            </w:r>
          </w:p>
        </w:tc>
        <w:tc>
          <w:tcPr>
            <w:tcW w:w="3812" w:type="pct"/>
          </w:tcPr>
          <w:p w:rsidR="00802B0F" w:rsidRPr="009C3208" w:rsidRDefault="00802B0F" w:rsidP="00CF4B55">
            <w:pPr>
              <w:jc w:val="both"/>
            </w:pPr>
            <w:r w:rsidRPr="009C3208">
              <w:t>INFORMAZIONI</w:t>
            </w:r>
          </w:p>
        </w:tc>
      </w:tr>
      <w:tr w:rsidR="00802B0F" w:rsidTr="00CF4B55">
        <w:tc>
          <w:tcPr>
            <w:tcW w:w="1188" w:type="pct"/>
          </w:tcPr>
          <w:p w:rsidR="00802B0F" w:rsidRPr="009C3208" w:rsidRDefault="00802B0F" w:rsidP="00CF4B55">
            <w:pPr>
              <w:jc w:val="both"/>
            </w:pPr>
            <w:r>
              <w:t>Categoria di prodotto</w:t>
            </w:r>
          </w:p>
        </w:tc>
        <w:tc>
          <w:tcPr>
            <w:tcW w:w="3812" w:type="pct"/>
          </w:tcPr>
          <w:p w:rsidR="00802B0F" w:rsidRDefault="00802B0F" w:rsidP="00CF4B55">
            <w:pPr>
              <w:jc w:val="both"/>
            </w:pPr>
            <w:r>
              <w:t>Materiale Elettrico</w:t>
            </w:r>
          </w:p>
        </w:tc>
      </w:tr>
      <w:tr w:rsidR="00802B0F" w:rsidTr="00CF4B55">
        <w:tc>
          <w:tcPr>
            <w:tcW w:w="1188" w:type="pct"/>
          </w:tcPr>
          <w:p w:rsidR="00802B0F" w:rsidRPr="009C3208" w:rsidRDefault="00802B0F" w:rsidP="00CF4B55">
            <w:pPr>
              <w:jc w:val="both"/>
            </w:pPr>
            <w:r>
              <w:t>Sottocategoria prodotto</w:t>
            </w:r>
          </w:p>
        </w:tc>
        <w:tc>
          <w:tcPr>
            <w:tcW w:w="3812" w:type="pct"/>
          </w:tcPr>
          <w:p w:rsidR="00802B0F" w:rsidRDefault="00802B0F" w:rsidP="00A26185">
            <w:pPr>
              <w:jc w:val="both"/>
            </w:pPr>
            <w:r w:rsidRPr="009C3208">
              <w:t>Ap</w:t>
            </w:r>
            <w:r>
              <w:t xml:space="preserve">parecchi di illuminazione </w:t>
            </w:r>
            <w:r w:rsidR="00A26185">
              <w:t>fissi</w:t>
            </w:r>
            <w:r w:rsidR="006254B7">
              <w:t xml:space="preserve"> da parete, soffitto o incasso</w:t>
            </w:r>
          </w:p>
        </w:tc>
      </w:tr>
      <w:tr w:rsidR="00802B0F" w:rsidTr="00CF4B55">
        <w:tc>
          <w:tcPr>
            <w:tcW w:w="1188" w:type="pct"/>
          </w:tcPr>
          <w:p w:rsidR="00802B0F" w:rsidRPr="009C3208" w:rsidRDefault="00802B0F" w:rsidP="00CF4B55">
            <w:pPr>
              <w:jc w:val="both"/>
            </w:pPr>
            <w:r>
              <w:t>Immagine prodotto</w:t>
            </w:r>
          </w:p>
        </w:tc>
        <w:tc>
          <w:tcPr>
            <w:tcW w:w="3812" w:type="pct"/>
          </w:tcPr>
          <w:p w:rsidR="00802B0F" w:rsidRDefault="00202B97" w:rsidP="00CF4B55">
            <w:pPr>
              <w:jc w:val="both"/>
            </w:pPr>
            <w:r>
              <w:rPr>
                <w:noProof/>
                <w:lang w:eastAsia="it-IT"/>
              </w:rPr>
              <w:drawing>
                <wp:anchor distT="0" distB="0" distL="114300" distR="114300" simplePos="0" relativeHeight="251682816" behindDoc="0" locked="0" layoutInCell="1" allowOverlap="1" wp14:anchorId="45C3FD70" wp14:editId="0ADE7E91">
                  <wp:simplePos x="0" y="0"/>
                  <wp:positionH relativeFrom="column">
                    <wp:posOffset>4920615</wp:posOffset>
                  </wp:positionH>
                  <wp:positionV relativeFrom="paragraph">
                    <wp:posOffset>95250</wp:posOffset>
                  </wp:positionV>
                  <wp:extent cx="2514600" cy="167640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167640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0768" behindDoc="0" locked="0" layoutInCell="1" allowOverlap="1" wp14:anchorId="14AA4217" wp14:editId="62B635C9">
                  <wp:simplePos x="0" y="0"/>
                  <wp:positionH relativeFrom="column">
                    <wp:posOffset>2510790</wp:posOffset>
                  </wp:positionH>
                  <wp:positionV relativeFrom="paragraph">
                    <wp:posOffset>93980</wp:posOffset>
                  </wp:positionV>
                  <wp:extent cx="2260600" cy="3390900"/>
                  <wp:effectExtent l="0" t="0" r="635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0600" cy="339090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1792" behindDoc="0" locked="0" layoutInCell="1" allowOverlap="1" wp14:anchorId="033A3A2A" wp14:editId="6BD5FE13">
                  <wp:simplePos x="0" y="0"/>
                  <wp:positionH relativeFrom="column">
                    <wp:posOffset>63500</wp:posOffset>
                  </wp:positionH>
                  <wp:positionV relativeFrom="paragraph">
                    <wp:posOffset>94615</wp:posOffset>
                  </wp:positionV>
                  <wp:extent cx="2247900" cy="3198495"/>
                  <wp:effectExtent l="0" t="0" r="0" b="190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3198495"/>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B24F0" w:rsidRDefault="000B24F0" w:rsidP="00CF4B55">
            <w:pPr>
              <w:jc w:val="both"/>
            </w:pPr>
          </w:p>
          <w:p w:rsidR="000B24F0" w:rsidRDefault="000B24F0" w:rsidP="00CF4B55">
            <w:pPr>
              <w:jc w:val="both"/>
            </w:pPr>
          </w:p>
          <w:p w:rsidR="00802B0F" w:rsidRDefault="00802B0F" w:rsidP="00CF4B55">
            <w:pPr>
              <w:jc w:val="both"/>
            </w:pPr>
          </w:p>
          <w:p w:rsidR="00802B0F" w:rsidRDefault="00180B41" w:rsidP="00CF4B55">
            <w:pPr>
              <w:jc w:val="both"/>
            </w:pPr>
            <w:r>
              <w:rPr>
                <w:noProof/>
                <w:lang w:eastAsia="it-IT"/>
              </w:rPr>
              <w:drawing>
                <wp:anchor distT="0" distB="0" distL="114300" distR="114300" simplePos="0" relativeHeight="251683840" behindDoc="0" locked="0" layoutInCell="1" allowOverlap="1" wp14:anchorId="129CAB17" wp14:editId="1F5C3B05">
                  <wp:simplePos x="0" y="0"/>
                  <wp:positionH relativeFrom="column">
                    <wp:posOffset>4920615</wp:posOffset>
                  </wp:positionH>
                  <wp:positionV relativeFrom="paragraph">
                    <wp:posOffset>156197</wp:posOffset>
                  </wp:positionV>
                  <wp:extent cx="2590800" cy="1349163"/>
                  <wp:effectExtent l="0" t="0" r="0" b="381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6602" cy="1346977"/>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941FEA" w:rsidRDefault="00941FEA" w:rsidP="00CF4B55">
            <w:pPr>
              <w:jc w:val="both"/>
            </w:pPr>
          </w:p>
          <w:p w:rsidR="00941FEA" w:rsidRDefault="00941FEA" w:rsidP="00CF4B55">
            <w:pPr>
              <w:jc w:val="both"/>
            </w:pPr>
          </w:p>
          <w:p w:rsidR="00802B0F" w:rsidRDefault="00802B0F" w:rsidP="00CF4B55">
            <w:pPr>
              <w:jc w:val="both"/>
            </w:pPr>
          </w:p>
        </w:tc>
      </w:tr>
      <w:tr w:rsidR="00802B0F" w:rsidTr="00CF4B55">
        <w:tc>
          <w:tcPr>
            <w:tcW w:w="1188" w:type="pct"/>
            <w:tcBorders>
              <w:bottom w:val="single" w:sz="4" w:space="0" w:color="auto"/>
            </w:tcBorders>
          </w:tcPr>
          <w:p w:rsidR="00802B0F" w:rsidRPr="009C3208" w:rsidRDefault="00802B0F" w:rsidP="00CF4B55">
            <w:pPr>
              <w:jc w:val="both"/>
            </w:pPr>
            <w:r>
              <w:t xml:space="preserve">Descrizione prodotto e </w:t>
            </w:r>
            <w:r w:rsidRPr="009C3208">
              <w:t>destinazione d’</w:t>
            </w:r>
            <w:r>
              <w:t>uso</w:t>
            </w:r>
          </w:p>
        </w:tc>
        <w:tc>
          <w:tcPr>
            <w:tcW w:w="3812" w:type="pct"/>
            <w:tcBorders>
              <w:bottom w:val="single" w:sz="4" w:space="0" w:color="auto"/>
            </w:tcBorders>
          </w:tcPr>
          <w:p w:rsidR="00802B0F" w:rsidRDefault="00D62429" w:rsidP="00D62429">
            <w:pPr>
              <w:jc w:val="both"/>
            </w:pPr>
            <w:r>
              <w:t>Lampada per il cui uso è necessario procedere alla sua installazione mediante fissaggio a parete, soffitto o incasso, escluse le luci di emergenza</w:t>
            </w:r>
          </w:p>
        </w:tc>
      </w:tr>
      <w:tr w:rsidR="00802B0F" w:rsidTr="00CF4B55">
        <w:tc>
          <w:tcPr>
            <w:tcW w:w="1188" w:type="pct"/>
            <w:tcBorders>
              <w:bottom w:val="single" w:sz="4" w:space="0" w:color="auto"/>
            </w:tcBorders>
          </w:tcPr>
          <w:p w:rsidR="00802B0F" w:rsidRPr="00672DC1" w:rsidRDefault="00802B0F" w:rsidP="00CF4B55">
            <w:pPr>
              <w:jc w:val="both"/>
              <w:rPr>
                <w:sz w:val="16"/>
                <w:szCs w:val="16"/>
              </w:rPr>
            </w:pPr>
          </w:p>
          <w:p w:rsidR="00802B0F" w:rsidRDefault="00802B0F" w:rsidP="00CF4B55">
            <w:pPr>
              <w:jc w:val="both"/>
            </w:pPr>
            <w:r>
              <w:t>Premessa</w:t>
            </w:r>
          </w:p>
          <w:p w:rsidR="00802B0F" w:rsidRDefault="00802B0F" w:rsidP="00CF4B55">
            <w:pPr>
              <w:jc w:val="both"/>
            </w:pPr>
          </w:p>
        </w:tc>
        <w:tc>
          <w:tcPr>
            <w:tcW w:w="3812" w:type="pct"/>
            <w:tcBorders>
              <w:bottom w:val="single" w:sz="4" w:space="0" w:color="auto"/>
            </w:tcBorders>
          </w:tcPr>
          <w:p w:rsidR="00802B0F" w:rsidRPr="00672DC1" w:rsidRDefault="00802B0F" w:rsidP="00CF4B55">
            <w:pPr>
              <w:spacing w:after="60"/>
              <w:jc w:val="both"/>
              <w:rPr>
                <w:i/>
                <w:sz w:val="16"/>
                <w:szCs w:val="16"/>
              </w:rPr>
            </w:pPr>
          </w:p>
          <w:p w:rsidR="00802B0F" w:rsidRDefault="00802B0F" w:rsidP="00CF4B55">
            <w:pPr>
              <w:spacing w:after="60"/>
              <w:jc w:val="both"/>
              <w:rPr>
                <w:i/>
              </w:rPr>
            </w:pPr>
            <w:r>
              <w:rPr>
                <w:i/>
              </w:rPr>
              <w:t>Gli obblighi di garantire la conformità del prodotto gravano in via principale sul fabbricante e sull’importatore, tuttavia anche il distributore è chiamato a vigilare ed è</w:t>
            </w:r>
            <w:r w:rsidR="00A118F8">
              <w:rPr>
                <w:i/>
              </w:rPr>
              <w:t xml:space="preserve"> responsabile</w:t>
            </w:r>
            <w:r w:rsidR="00B60B69">
              <w:rPr>
                <w:i/>
              </w:rPr>
              <w:t xml:space="preserve"> (amministrativamente, civilmente o penalmente)</w:t>
            </w:r>
            <w:r w:rsidR="00A118F8">
              <w:rPr>
                <w:i/>
              </w:rPr>
              <w:t xml:space="preserve"> per la messa a disposizione sul mercato di prodotti non conformi.</w:t>
            </w:r>
          </w:p>
          <w:p w:rsidR="00802B0F" w:rsidRDefault="004A4960" w:rsidP="00B60B69">
            <w:pPr>
              <w:spacing w:after="60"/>
              <w:jc w:val="both"/>
              <w:rPr>
                <w:i/>
              </w:rPr>
            </w:pPr>
            <w:r>
              <w:rPr>
                <w:i/>
              </w:rPr>
              <w:t xml:space="preserve">E’ dunque importante </w:t>
            </w:r>
            <w:r w:rsidR="00B60B69">
              <w:rPr>
                <w:i/>
              </w:rPr>
              <w:t>essere consapevoli di quali obblighi competono in qualità di distributore (all’ingrosso o al dettaglio) e quali azioni possono essere intraprese per ottemperare a questi obblighi.</w:t>
            </w:r>
          </w:p>
          <w:p w:rsidR="00126C62" w:rsidRPr="00816DC0" w:rsidRDefault="00126C62" w:rsidP="00B60B69">
            <w:pPr>
              <w:spacing w:after="60"/>
              <w:jc w:val="both"/>
              <w:rPr>
                <w:i/>
              </w:rPr>
            </w:pPr>
          </w:p>
        </w:tc>
      </w:tr>
      <w:tr w:rsidR="00802B0F" w:rsidTr="00360B05">
        <w:tc>
          <w:tcPr>
            <w:tcW w:w="1188" w:type="pct"/>
            <w:tcBorders>
              <w:bottom w:val="single" w:sz="4" w:space="0" w:color="auto"/>
            </w:tcBorders>
            <w:shd w:val="clear" w:color="auto" w:fill="FFFF00"/>
          </w:tcPr>
          <w:p w:rsidR="00046B05" w:rsidRDefault="00046B05" w:rsidP="00CF4B55">
            <w:pPr>
              <w:jc w:val="both"/>
            </w:pPr>
            <w:r>
              <w:lastRenderedPageBreak/>
              <w:t>CONTROLLI VISIVI</w:t>
            </w:r>
          </w:p>
          <w:p w:rsidR="00802B0F" w:rsidRDefault="00AE2422" w:rsidP="00CF4B55">
            <w:pPr>
              <w:jc w:val="both"/>
            </w:pPr>
            <w:r>
              <w:t>chi mette in vendita in I</w:t>
            </w:r>
            <w:r w:rsidR="00046B05">
              <w:t>talia deve controllare che ci siano</w:t>
            </w:r>
          </w:p>
          <w:p w:rsidR="00802B0F" w:rsidRDefault="00802B0F" w:rsidP="00CF4B55">
            <w:pPr>
              <w:jc w:val="both"/>
            </w:pPr>
          </w:p>
        </w:tc>
        <w:tc>
          <w:tcPr>
            <w:tcW w:w="3812" w:type="pct"/>
            <w:tcBorders>
              <w:bottom w:val="single" w:sz="4" w:space="0" w:color="auto"/>
            </w:tcBorders>
            <w:shd w:val="clear" w:color="auto" w:fill="FFFF00"/>
          </w:tcPr>
          <w:p w:rsidR="00802B0F" w:rsidRDefault="002E6D5F" w:rsidP="00802B0F">
            <w:pPr>
              <w:pStyle w:val="Paragrafoelenco"/>
              <w:numPr>
                <w:ilvl w:val="0"/>
                <w:numId w:val="11"/>
              </w:numPr>
              <w:jc w:val="both"/>
            </w:pPr>
            <w:r>
              <w:t>La marcatura</w:t>
            </w:r>
            <w:r w:rsidR="00360B05">
              <w:t xml:space="preserve"> CE </w:t>
            </w:r>
          </w:p>
          <w:p w:rsidR="00802B0F" w:rsidRDefault="00360B05" w:rsidP="00802B0F">
            <w:pPr>
              <w:pStyle w:val="Paragrafoelenco"/>
              <w:numPr>
                <w:ilvl w:val="0"/>
                <w:numId w:val="11"/>
              </w:numPr>
              <w:jc w:val="both"/>
            </w:pPr>
            <w:r>
              <w:t>un codice di identificazione univoca del prodotto (identificazione dell’articolo)</w:t>
            </w:r>
          </w:p>
          <w:p w:rsidR="00802B0F" w:rsidRDefault="00EC3CC9" w:rsidP="00802B0F">
            <w:pPr>
              <w:pStyle w:val="Paragrafoelenco"/>
              <w:numPr>
                <w:ilvl w:val="0"/>
                <w:numId w:val="11"/>
              </w:numPr>
              <w:jc w:val="both"/>
            </w:pPr>
            <w:r>
              <w:t>l’</w:t>
            </w:r>
            <w:r w:rsidR="00360B05">
              <w:t>indicazione estremi del fabbricante e dell’importatore (se il fabbricante non è europeo)</w:t>
            </w:r>
          </w:p>
          <w:p w:rsidR="00EC3CC9" w:rsidRDefault="00EC3CC9" w:rsidP="00802B0F">
            <w:pPr>
              <w:pStyle w:val="Paragrafoelenco"/>
              <w:numPr>
                <w:ilvl w:val="0"/>
                <w:numId w:val="11"/>
              </w:numPr>
              <w:jc w:val="both"/>
            </w:pPr>
            <w:r>
              <w:t>dati di targa obbligatori</w:t>
            </w:r>
          </w:p>
          <w:p w:rsidR="00802B0F" w:rsidRPr="009C3208" w:rsidRDefault="00360B05" w:rsidP="001D0C2B">
            <w:pPr>
              <w:pStyle w:val="Paragrafoelenco"/>
              <w:numPr>
                <w:ilvl w:val="0"/>
                <w:numId w:val="11"/>
              </w:numPr>
              <w:spacing w:after="60"/>
              <w:ind w:left="714" w:hanging="357"/>
              <w:jc w:val="both"/>
            </w:pPr>
            <w:r>
              <w:t>istruzioni in lingua italiana</w:t>
            </w:r>
          </w:p>
        </w:tc>
      </w:tr>
      <w:tr w:rsidR="00360B05" w:rsidTr="004D219C">
        <w:tc>
          <w:tcPr>
            <w:tcW w:w="1188" w:type="pct"/>
            <w:tcBorders>
              <w:bottom w:val="single" w:sz="4" w:space="0" w:color="auto"/>
            </w:tcBorders>
            <w:shd w:val="clear" w:color="auto" w:fill="auto"/>
          </w:tcPr>
          <w:p w:rsidR="00360B05" w:rsidRDefault="00EC3CC9" w:rsidP="00EC3CC9">
            <w:pPr>
              <w:jc w:val="both"/>
            </w:pPr>
            <w:r>
              <w:t>Attività necessarie per ottemperare ai CONTROLLI VISIVI</w:t>
            </w:r>
          </w:p>
        </w:tc>
        <w:tc>
          <w:tcPr>
            <w:tcW w:w="3812" w:type="pct"/>
            <w:tcBorders>
              <w:bottom w:val="single" w:sz="4" w:space="0" w:color="auto"/>
            </w:tcBorders>
            <w:shd w:val="clear" w:color="auto" w:fill="auto"/>
          </w:tcPr>
          <w:p w:rsidR="002E6D5F" w:rsidRPr="000A6908" w:rsidRDefault="002E6D5F" w:rsidP="00CF4B55">
            <w:pPr>
              <w:jc w:val="both"/>
              <w:rPr>
                <w:u w:val="single"/>
              </w:rPr>
            </w:pPr>
            <w:r w:rsidRPr="000A6908">
              <w:rPr>
                <w:u w:val="single"/>
              </w:rPr>
              <w:t>LA MARCATURA CE</w:t>
            </w:r>
          </w:p>
          <w:p w:rsidR="002E6D5F" w:rsidRDefault="002E6D5F" w:rsidP="00CF4B55">
            <w:pPr>
              <w:jc w:val="both"/>
            </w:pPr>
            <w:r>
              <w:rPr>
                <w:noProof/>
                <w:lang w:eastAsia="it-IT"/>
              </w:rPr>
              <w:drawing>
                <wp:anchor distT="0" distB="0" distL="114300" distR="114300" simplePos="0" relativeHeight="251666432" behindDoc="0" locked="0" layoutInCell="1" allowOverlap="1" wp14:anchorId="7996BB25" wp14:editId="26967AA5">
                  <wp:simplePos x="0" y="0"/>
                  <wp:positionH relativeFrom="column">
                    <wp:posOffset>129540</wp:posOffset>
                  </wp:positionH>
                  <wp:positionV relativeFrom="paragraph">
                    <wp:posOffset>24131</wp:posOffset>
                  </wp:positionV>
                  <wp:extent cx="781050" cy="531684"/>
                  <wp:effectExtent l="0" t="0" r="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247" cy="532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5F" w:rsidRDefault="002E6D5F" w:rsidP="00CF4B55">
            <w:pPr>
              <w:jc w:val="both"/>
            </w:pPr>
          </w:p>
          <w:p w:rsidR="002E6D5F" w:rsidRDefault="002E6D5F" w:rsidP="00CF4B55">
            <w:pPr>
              <w:jc w:val="both"/>
            </w:pPr>
          </w:p>
          <w:p w:rsidR="00360B05" w:rsidRDefault="00360B05" w:rsidP="00CF4B55">
            <w:pPr>
              <w:jc w:val="both"/>
            </w:pPr>
          </w:p>
          <w:p w:rsidR="002E6D5F" w:rsidRDefault="002E6D5F" w:rsidP="00CF4B55">
            <w:pPr>
              <w:jc w:val="both"/>
            </w:pPr>
            <w:r w:rsidRPr="002E6D5F">
              <w:t>La marcatura CE è un indicatore fondamentale (ma non una prova) della conformità del prodotto alla legislazione dell'UE e consente la libera circolazione dei prodotti</w:t>
            </w:r>
            <w:r>
              <w:t xml:space="preserve"> all'interno del mercato del Sistema Economico Europeo. Deve rispettare specifiche proporzioni per potersi definire conforme</w:t>
            </w:r>
            <w:r w:rsidR="0046515B">
              <w:t xml:space="preserve"> e deve essere apposta sul prodotto cui si riferisce in maniera visibile, leggibile e indelebile.</w:t>
            </w:r>
          </w:p>
          <w:p w:rsidR="0046515B" w:rsidRDefault="0046515B" w:rsidP="00CF4B55">
            <w:pPr>
              <w:jc w:val="both"/>
            </w:pPr>
          </w:p>
          <w:p w:rsidR="0046515B" w:rsidRPr="00D95470" w:rsidRDefault="0046515B" w:rsidP="00DE021D">
            <w:pPr>
              <w:jc w:val="both"/>
              <w:rPr>
                <w:b/>
              </w:rPr>
            </w:pPr>
            <w:r>
              <w:t>Poiché la norma impone l’apposizione</w:t>
            </w:r>
            <w:r w:rsidR="00DE021D">
              <w:t xml:space="preserve"> </w:t>
            </w:r>
            <w:r w:rsidR="00DE021D" w:rsidRPr="0046515B">
              <w:t>della m</w:t>
            </w:r>
            <w:r w:rsidR="00DE021D">
              <w:t xml:space="preserve">arcatura CE </w:t>
            </w:r>
            <w:r>
              <w:t xml:space="preserve">direttamente sul prodotto </w:t>
            </w:r>
            <w:r w:rsidR="001C1ECA">
              <w:t xml:space="preserve">sostituibile da quella apposta </w:t>
            </w:r>
            <w:r>
              <w:t>sull’imballaggio</w:t>
            </w:r>
            <w:r w:rsidR="00DE021D">
              <w:t xml:space="preserve"> </w:t>
            </w:r>
            <w:r>
              <w:t xml:space="preserve">solo nel caso in cui </w:t>
            </w:r>
            <w:r w:rsidR="00DE021D">
              <w:t>sul prodotto risulti</w:t>
            </w:r>
            <w:r>
              <w:t xml:space="preserve"> </w:t>
            </w:r>
            <w:r w:rsidRPr="0046515B">
              <w:t xml:space="preserve">impossibile </w:t>
            </w:r>
            <w:r w:rsidR="00DE021D">
              <w:t xml:space="preserve">tecnicamente </w:t>
            </w:r>
            <w:r>
              <w:t xml:space="preserve">o </w:t>
            </w:r>
            <w:r w:rsidRPr="0046515B">
              <w:t>a condizioni ragionevoli dal punto di vista tecnico o economico</w:t>
            </w:r>
            <w:r w:rsidR="00DE021D">
              <w:t>, oppure non si possano garantire</w:t>
            </w:r>
            <w:r w:rsidRPr="0046515B">
              <w:t xml:space="preserve"> le dimensioni minime per l'apposizione</w:t>
            </w:r>
            <w:r w:rsidR="00D15188">
              <w:t xml:space="preserve"> (il marchio CE deve avere una dimensione minima di 5mm di lato)</w:t>
            </w:r>
            <w:r w:rsidRPr="0046515B">
              <w:t xml:space="preserve">, o </w:t>
            </w:r>
            <w:r w:rsidR="00DE021D">
              <w:t xml:space="preserve">ancora </w:t>
            </w:r>
            <w:r w:rsidRPr="0046515B">
              <w:t>non si p</w:t>
            </w:r>
            <w:r w:rsidR="00DE021D">
              <w:t>ossa</w:t>
            </w:r>
            <w:r w:rsidRPr="0046515B">
              <w:t xml:space="preserve"> garantire che la marcatura CE risulti v</w:t>
            </w:r>
            <w:r w:rsidR="00DE021D">
              <w:t xml:space="preserve">isibile, leggibile e indelebile, </w:t>
            </w:r>
            <w:r w:rsidR="00DE021D" w:rsidRPr="00D95470">
              <w:rPr>
                <w:b/>
              </w:rPr>
              <w:t>È NECESSARIO CHE IL DISTRIBUTORE SI ACCERTI DELLA PRESENZA DELLA MARCATURA CE DIRETTAMENTE SUL PRODOTTO APRENDO ALMENO UNA CONFEZIONE</w:t>
            </w:r>
          </w:p>
          <w:p w:rsidR="00DE021D" w:rsidRDefault="00DE021D" w:rsidP="00DE021D">
            <w:pPr>
              <w:jc w:val="both"/>
            </w:pPr>
          </w:p>
          <w:p w:rsidR="00710C8E" w:rsidRPr="000A6908" w:rsidRDefault="00710C8E" w:rsidP="00DE021D">
            <w:pPr>
              <w:jc w:val="both"/>
              <w:rPr>
                <w:u w:val="single"/>
              </w:rPr>
            </w:pPr>
            <w:r w:rsidRPr="000A6908">
              <w:rPr>
                <w:u w:val="single"/>
              </w:rPr>
              <w:t>CODICE IDENTIFICATIVO DEL PRODOTTO</w:t>
            </w:r>
          </w:p>
          <w:p w:rsidR="00710C8E" w:rsidRDefault="00710C8E" w:rsidP="00DE021D">
            <w:pPr>
              <w:jc w:val="both"/>
            </w:pPr>
          </w:p>
          <w:p w:rsidR="00710C8E" w:rsidRPr="00D95470" w:rsidRDefault="00710C8E" w:rsidP="00644E2C">
            <w:pPr>
              <w:jc w:val="both"/>
              <w:rPr>
                <w:b/>
              </w:rPr>
            </w:pPr>
            <w:r>
              <w:t xml:space="preserve">La norma impone che </w:t>
            </w:r>
            <w:r w:rsidR="00644E2C">
              <w:t xml:space="preserve">su </w:t>
            </w:r>
            <w:r>
              <w:t xml:space="preserve">ogni prodotto sia </w:t>
            </w:r>
            <w:r w:rsidR="00644E2C">
              <w:t>presente un numero di tipo, di lotto o seriale</w:t>
            </w:r>
            <w:r w:rsidR="00D15188">
              <w:t>,</w:t>
            </w:r>
            <w:r w:rsidR="00644E2C">
              <w:t xml:space="preserve"> o altro elemento identificativo, che individui univocamente il prodotto. Questo elemento è importante per la tracciabilità e </w:t>
            </w:r>
            <w:r w:rsidR="00D15188">
              <w:t>per l’</w:t>
            </w:r>
            <w:r w:rsidR="00644E2C">
              <w:t xml:space="preserve"> individuazione di quali esemplari siano eventualmente interessati </w:t>
            </w:r>
            <w:r w:rsidR="00864669">
              <w:t>da</w:t>
            </w:r>
            <w:r w:rsidR="00644E2C">
              <w:t xml:space="preserve"> ritiri o richiami dal mercato.</w:t>
            </w:r>
            <w:r w:rsidR="00864669">
              <w:t xml:space="preserve"> Anche in questo caso si tratta di una marcatura che deve risultare visibile, leggibile e indelebile sul prodotto e solo in alcuni casi sostituibile dall’indicazione sulla confezione; </w:t>
            </w:r>
            <w:r w:rsidR="00D15188">
              <w:t xml:space="preserve">pertanto </w:t>
            </w:r>
            <w:r w:rsidR="00864669" w:rsidRPr="00D95470">
              <w:rPr>
                <w:b/>
              </w:rPr>
              <w:t>È NECESSARIO CHE IL DISTRIBUTORE SI ACCERTI DELLA PRESENZA DEL CODICE IDENTIFICATIVO DIRETTAMENTE SUL PRODOTTO APRENDO ALMENO UNA CONFEZIONE</w:t>
            </w:r>
          </w:p>
          <w:p w:rsidR="00864669" w:rsidRDefault="00864669" w:rsidP="00644E2C">
            <w:pPr>
              <w:jc w:val="both"/>
            </w:pPr>
          </w:p>
          <w:p w:rsidR="00864669" w:rsidRPr="000A6908" w:rsidRDefault="00864669" w:rsidP="00644E2C">
            <w:pPr>
              <w:jc w:val="both"/>
              <w:rPr>
                <w:u w:val="single"/>
              </w:rPr>
            </w:pPr>
            <w:r w:rsidRPr="000A6908">
              <w:rPr>
                <w:u w:val="single"/>
              </w:rPr>
              <w:t>ESTREMI DEL FABBRICANTE E DELL’IMPORTATORE</w:t>
            </w:r>
          </w:p>
          <w:p w:rsidR="00864669" w:rsidRDefault="00864669" w:rsidP="00644E2C">
            <w:pPr>
              <w:jc w:val="both"/>
            </w:pPr>
          </w:p>
          <w:p w:rsidR="00864669" w:rsidRDefault="00864669" w:rsidP="00644E2C">
            <w:pPr>
              <w:jc w:val="both"/>
            </w:pPr>
            <w:r>
              <w:t>Il fabbricante è secondo la norma il soggetto che produce o fa produrre a proprio nome un certo prodotto; è il soggetto responsabile della sicurezza del prodotto e della sua conformità a tutti i requisiti fissati dalla norma. Ove il fabbricante non abbia sede</w:t>
            </w:r>
            <w:r w:rsidR="00442588">
              <w:t xml:space="preserve"> nella comunità europea è necessario che sia presente l’importatore, come responsabile dell’immissione del prodotto</w:t>
            </w:r>
            <w:r w:rsidR="001C1ECA">
              <w:t xml:space="preserve">, in </w:t>
            </w:r>
            <w:r w:rsidR="001C1ECA">
              <w:lastRenderedPageBreak/>
              <w:t>affiancamento al produttore originario</w:t>
            </w:r>
            <w:r w:rsidR="00442588">
              <w:t>.</w:t>
            </w:r>
          </w:p>
          <w:p w:rsidR="00442588" w:rsidRDefault="00442588" w:rsidP="00644E2C">
            <w:pPr>
              <w:jc w:val="both"/>
            </w:pPr>
          </w:p>
          <w:p w:rsidR="00442588" w:rsidRDefault="00442588" w:rsidP="00644E2C">
            <w:pPr>
              <w:jc w:val="both"/>
            </w:pPr>
            <w:r>
              <w:t>Fabbricante e importatore hanno l’obbligo di apporre i loro estremi direttamente sul prodotto, nella forma di: nome, denominazione commerciale registrata o marchio registrato e indirizzo postale al quale essere contattati</w:t>
            </w:r>
            <w:r w:rsidR="00DE3D31">
              <w:t>.</w:t>
            </w:r>
          </w:p>
          <w:p w:rsidR="00DE3D31" w:rsidRDefault="00DE3D31" w:rsidP="00644E2C">
            <w:pPr>
              <w:jc w:val="both"/>
            </w:pPr>
          </w:p>
          <w:p w:rsidR="00DE3D31" w:rsidRPr="00D95470" w:rsidRDefault="00DE3D31" w:rsidP="00644E2C">
            <w:pPr>
              <w:jc w:val="both"/>
              <w:rPr>
                <w:b/>
              </w:rPr>
            </w:pPr>
            <w:r>
              <w:t xml:space="preserve">Anche in questo caso i dati riportati in confezione o su un documento che accompagna il prodotto possono sostituire quelli sul prodotto stesso solo in casi conclamati di impossibilità tecnica o economica, non per motivi di estetica, quindi </w:t>
            </w:r>
            <w:r w:rsidRPr="00D95470">
              <w:rPr>
                <w:b/>
              </w:rPr>
              <w:t>È NECESSARIO CHE IL DISTRIBUTORE SI ACCERTI DELLA PRESENZA DEGLI ESTREMI DEL FABBRICANTE E DELL’IMPORTATORE DIRETTAMENTE SUL PRODOTTO APRENDO ALMENO UNA CONFEZIONE</w:t>
            </w:r>
          </w:p>
          <w:p w:rsidR="00DE3D31" w:rsidRDefault="00DE3D31" w:rsidP="00644E2C">
            <w:pPr>
              <w:jc w:val="both"/>
            </w:pPr>
          </w:p>
          <w:p w:rsidR="00DE3D31" w:rsidRPr="000A6908" w:rsidRDefault="00DE3D31" w:rsidP="00644E2C">
            <w:pPr>
              <w:jc w:val="both"/>
              <w:rPr>
                <w:u w:val="single"/>
              </w:rPr>
            </w:pPr>
            <w:r w:rsidRPr="000A6908">
              <w:rPr>
                <w:u w:val="single"/>
              </w:rPr>
              <w:t>DATI DI TARGA OBBLIGATORI</w:t>
            </w:r>
          </w:p>
          <w:p w:rsidR="00DE3D31" w:rsidRDefault="00DE3D31" w:rsidP="00644E2C">
            <w:pPr>
              <w:jc w:val="both"/>
            </w:pPr>
          </w:p>
          <w:p w:rsidR="00DE3D31" w:rsidRDefault="00DE3D31" w:rsidP="00644E2C">
            <w:pPr>
              <w:jc w:val="both"/>
            </w:pPr>
            <w:r>
              <w:t xml:space="preserve">La norma </w:t>
            </w:r>
            <w:r w:rsidR="001C1ECA">
              <w:t>deriva</w:t>
            </w:r>
            <w:r w:rsidR="00520D19">
              <w:t xml:space="preserve"> la presunzione della</w:t>
            </w:r>
            <w:r>
              <w:t xml:space="preserve"> conformità</w:t>
            </w:r>
            <w:r w:rsidR="00520D19">
              <w:t xml:space="preserve"> agli obiettivi di sicur</w:t>
            </w:r>
            <w:r w:rsidR="001C1ECA">
              <w:t>ezza di un prodotto elettrico, da</w:t>
            </w:r>
            <w:r w:rsidR="00520D19">
              <w:t xml:space="preserve">lla conformità dello stesso alle norme armonizzate ad esso applicabili. Nel caso degli apparecchi di illuminazione </w:t>
            </w:r>
            <w:r w:rsidR="005C188C">
              <w:t>fissi</w:t>
            </w:r>
            <w:r w:rsidR="00520D19">
              <w:t xml:space="preserve"> ad uso interno la normativa tecnica armonizzata impone </w:t>
            </w:r>
            <w:r w:rsidR="000A6908">
              <w:t>l’indicazione</w:t>
            </w:r>
            <w:r w:rsidR="00520D19">
              <w:t xml:space="preserve"> sul prodotto:</w:t>
            </w:r>
          </w:p>
          <w:p w:rsidR="00520D19" w:rsidRDefault="00520D19" w:rsidP="00CD617D"/>
          <w:p w:rsidR="00520D19" w:rsidRDefault="00520D19" w:rsidP="00520D19">
            <w:pPr>
              <w:pStyle w:val="Paragrafoelenco"/>
              <w:numPr>
                <w:ilvl w:val="0"/>
                <w:numId w:val="12"/>
              </w:numPr>
              <w:jc w:val="both"/>
            </w:pPr>
            <w:r>
              <w:t>della tensione di alimentazione, espressa in volt (V)</w:t>
            </w:r>
          </w:p>
          <w:p w:rsidR="00520D19" w:rsidRDefault="008110F4" w:rsidP="00520D19">
            <w:pPr>
              <w:pStyle w:val="Paragrafoelenco"/>
              <w:numPr>
                <w:ilvl w:val="0"/>
                <w:numId w:val="12"/>
              </w:numPr>
              <w:jc w:val="both"/>
            </w:pPr>
            <w:r>
              <w:rPr>
                <w:noProof/>
                <w:lang w:eastAsia="it-IT"/>
              </w:rPr>
              <w:drawing>
                <wp:anchor distT="0" distB="0" distL="114300" distR="114300" simplePos="0" relativeHeight="251668480" behindDoc="0" locked="0" layoutInCell="1" allowOverlap="1" wp14:anchorId="75EBDDAF" wp14:editId="74A4894B">
                  <wp:simplePos x="0" y="0"/>
                  <wp:positionH relativeFrom="column">
                    <wp:posOffset>2596515</wp:posOffset>
                  </wp:positionH>
                  <wp:positionV relativeFrom="paragraph">
                    <wp:posOffset>156845</wp:posOffset>
                  </wp:positionV>
                  <wp:extent cx="238125" cy="222250"/>
                  <wp:effectExtent l="0" t="0" r="9525" b="635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D19">
              <w:t>della potenza massima assorbita, espressa in watt (W)</w:t>
            </w:r>
          </w:p>
          <w:p w:rsidR="00520D19" w:rsidRDefault="00520D19" w:rsidP="00520D19">
            <w:pPr>
              <w:pStyle w:val="Paragrafoelenco"/>
              <w:numPr>
                <w:ilvl w:val="0"/>
                <w:numId w:val="12"/>
              </w:numPr>
              <w:jc w:val="both"/>
            </w:pPr>
            <w:r>
              <w:t>della classe di isolamento</w:t>
            </w:r>
            <w:r w:rsidR="008110F4">
              <w:t xml:space="preserve"> II (simbolo         ) ove </w:t>
            </w:r>
            <w:r w:rsidR="00180B41">
              <w:t>il cavo d’alimentazione non sia dotato</w:t>
            </w:r>
            <w:r w:rsidR="008110F4">
              <w:t xml:space="preserve"> </w:t>
            </w:r>
            <w:r w:rsidR="00180B41">
              <w:t xml:space="preserve">di </w:t>
            </w:r>
            <w:r w:rsidR="00695FC3">
              <w:t>contatto</w:t>
            </w:r>
            <w:r w:rsidR="008746FA">
              <w:t xml:space="preserve"> per la messa</w:t>
            </w:r>
            <w:r w:rsidR="00695FC3">
              <w:t xml:space="preserve"> a</w:t>
            </w:r>
            <w:r w:rsidR="008110F4">
              <w:t xml:space="preserve"> terra</w:t>
            </w:r>
          </w:p>
          <w:p w:rsidR="00B63ABE" w:rsidRDefault="00B63ABE" w:rsidP="003D749F">
            <w:pPr>
              <w:pStyle w:val="Paragrafoelenco"/>
              <w:numPr>
                <w:ilvl w:val="0"/>
                <w:numId w:val="12"/>
              </w:numPr>
              <w:spacing w:before="240"/>
              <w:jc w:val="both"/>
            </w:pPr>
            <w:r>
              <w:rPr>
                <w:noProof/>
                <w:lang w:eastAsia="it-IT"/>
              </w:rPr>
              <w:drawing>
                <wp:anchor distT="0" distB="0" distL="114300" distR="114300" simplePos="0" relativeHeight="251675648" behindDoc="0" locked="0" layoutInCell="1" allowOverlap="1" wp14:anchorId="4137D3F7" wp14:editId="15CB9090">
                  <wp:simplePos x="0" y="0"/>
                  <wp:positionH relativeFrom="column">
                    <wp:posOffset>1832610</wp:posOffset>
                  </wp:positionH>
                  <wp:positionV relativeFrom="paragraph">
                    <wp:posOffset>164465</wp:posOffset>
                  </wp:positionV>
                  <wp:extent cx="312420" cy="188595"/>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 cy="18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98B">
              <w:t xml:space="preserve">per lampade con fascio di luce concentrato (ad esempio faretti) </w:t>
            </w:r>
            <w:r w:rsidR="00914C83">
              <w:t xml:space="preserve">indicazione </w:t>
            </w:r>
            <w:r w:rsidR="0055798B">
              <w:t xml:space="preserve">in metri </w:t>
            </w:r>
            <w:r w:rsidR="00914C83">
              <w:t>del</w:t>
            </w:r>
            <w:r w:rsidR="00D62429">
              <w:t xml:space="preserve">la distanza </w:t>
            </w:r>
            <w:r w:rsidR="00F119B9">
              <w:t xml:space="preserve">minima </w:t>
            </w:r>
            <w:r w:rsidR="00D62429">
              <w:t>dal soggetto illuminato</w:t>
            </w:r>
            <w:r w:rsidR="00F119B9">
              <w:t xml:space="preserve"> (ad esempio</w:t>
            </w:r>
            <w:r w:rsidR="00AF714E">
              <w:t xml:space="preserve">  </w:t>
            </w:r>
            <w:r w:rsidR="00F119B9">
              <w:t xml:space="preserve">           )</w:t>
            </w:r>
          </w:p>
          <w:p w:rsidR="00695FC3" w:rsidRDefault="00695FC3" w:rsidP="00695FC3">
            <w:pPr>
              <w:jc w:val="both"/>
            </w:pPr>
          </w:p>
          <w:p w:rsidR="0075356D" w:rsidRDefault="0075356D" w:rsidP="0075356D">
            <w:pPr>
              <w:jc w:val="both"/>
            </w:pPr>
            <w:r>
              <w:t xml:space="preserve">I suddetti dati di targa si trovano collocati sul prodotto, in forma visibile, su superficie accessibile prima del montaggio o sotto </w:t>
            </w:r>
            <w:r w:rsidR="00575E2E">
              <w:t>una copertura o una parte che viene rimossa durante il montaggio</w:t>
            </w:r>
            <w:r>
              <w:t>.</w:t>
            </w:r>
          </w:p>
          <w:p w:rsidR="00076459" w:rsidRDefault="00076459" w:rsidP="0075356D">
            <w:pPr>
              <w:jc w:val="both"/>
            </w:pPr>
          </w:p>
          <w:p w:rsidR="00076459" w:rsidRDefault="00076459" w:rsidP="0075356D">
            <w:pPr>
              <w:jc w:val="both"/>
            </w:pPr>
            <w:r>
              <w:t>Se la lampada è dotata di sorgenti luminose sostituibili (lampadina), in prossimità del punto di montaggio della sorgente luminosa, in maniera visibile a chi opera la sostituzione, deve essere presente l’i</w:t>
            </w:r>
            <w:r w:rsidR="00600ED0">
              <w:t>ndicazione della massima potenza nominale assorbita dalla fonte luminosa.</w:t>
            </w:r>
          </w:p>
          <w:p w:rsidR="0075356D" w:rsidRDefault="0075356D" w:rsidP="00695FC3">
            <w:pPr>
              <w:jc w:val="both"/>
            </w:pPr>
          </w:p>
          <w:p w:rsidR="00695FC3" w:rsidRPr="00D95470" w:rsidRDefault="00695FC3" w:rsidP="00695FC3">
            <w:pPr>
              <w:jc w:val="both"/>
              <w:rPr>
                <w:b/>
              </w:rPr>
            </w:pPr>
            <w:r>
              <w:t xml:space="preserve">Solitamente questi dati sono riportati anche in confezione, ma poiché l’obbligo è che siano presenti sul prodotto </w:t>
            </w:r>
            <w:r w:rsidRPr="00D95470">
              <w:rPr>
                <w:b/>
              </w:rPr>
              <w:t>È NECESSARIO CHE IL DISTRIBUTORE SI ACCERTI DELLA PRESENZA DEI DATI DI TARGA DIRETTAMENTE SUL PRODOTTO APRENDO ALMENO UNA CONFEZIONE</w:t>
            </w:r>
          </w:p>
          <w:p w:rsidR="00695FC3" w:rsidRDefault="00695FC3" w:rsidP="00695FC3">
            <w:pPr>
              <w:jc w:val="both"/>
            </w:pPr>
          </w:p>
          <w:p w:rsidR="00600ED0" w:rsidRDefault="00600ED0" w:rsidP="00695FC3">
            <w:pPr>
              <w:jc w:val="both"/>
            </w:pPr>
          </w:p>
          <w:p w:rsidR="00600ED0" w:rsidRDefault="00600ED0" w:rsidP="00695FC3">
            <w:pPr>
              <w:jc w:val="both"/>
            </w:pPr>
          </w:p>
          <w:p w:rsidR="00695FC3" w:rsidRPr="00FA0799" w:rsidRDefault="00695FC3" w:rsidP="00695FC3">
            <w:pPr>
              <w:jc w:val="both"/>
              <w:rPr>
                <w:u w:val="single"/>
              </w:rPr>
            </w:pPr>
            <w:r w:rsidRPr="00FA0799">
              <w:rPr>
                <w:u w:val="single"/>
              </w:rPr>
              <w:lastRenderedPageBreak/>
              <w:t>ISTRUZIONI IN LINGUA ITALIANA</w:t>
            </w:r>
          </w:p>
          <w:p w:rsidR="00695FC3" w:rsidRDefault="00695FC3" w:rsidP="00695FC3">
            <w:pPr>
              <w:jc w:val="both"/>
            </w:pPr>
          </w:p>
          <w:p w:rsidR="00494711" w:rsidRDefault="00695FC3" w:rsidP="00644E2C">
            <w:pPr>
              <w:jc w:val="both"/>
            </w:pPr>
            <w:r>
              <w:t xml:space="preserve">La norma impone che ogni prodotto elettrico sia accompagnato da istruzioni e </w:t>
            </w:r>
            <w:r w:rsidR="000A6908">
              <w:t xml:space="preserve">informazioni sulla sicurezza scritte nella lingua ufficiale del paese nel quale il prodotto viene venduto; conseguentemente per i prodotti distribuiti in Italia deve essere almeno presente la lingua italiana. Poiché solitamente le istruzioni sono inserite all’interno delle confezioni </w:t>
            </w:r>
            <w:r w:rsidR="000A6908" w:rsidRPr="00D95470">
              <w:rPr>
                <w:b/>
              </w:rPr>
              <w:t>È NECESSARIO CHE IL DISTRIBUTORE SI ACCERTI DELLA PRESENZA DELLE ISTRUZIONI IN LINGUA ITALIANA APRENDO ALMENO UNA CONFEZIONE</w:t>
            </w:r>
          </w:p>
        </w:tc>
      </w:tr>
      <w:tr w:rsidR="00802B0F" w:rsidTr="004D219C">
        <w:tc>
          <w:tcPr>
            <w:tcW w:w="1188" w:type="pct"/>
            <w:shd w:val="clear" w:color="auto" w:fill="auto"/>
          </w:tcPr>
          <w:p w:rsidR="00802B0F" w:rsidRDefault="000A6908" w:rsidP="00CF4B55">
            <w:pPr>
              <w:jc w:val="both"/>
            </w:pPr>
            <w:r>
              <w:lastRenderedPageBreak/>
              <w:t>ULTERIORI CONTROLLI VISIVI</w:t>
            </w:r>
            <w:r w:rsidR="00D15188">
              <w:t xml:space="preserve"> E ADEMPIMENTI</w:t>
            </w:r>
          </w:p>
          <w:p w:rsidR="00802B0F" w:rsidRDefault="00802B0F" w:rsidP="00360B05">
            <w:pPr>
              <w:jc w:val="both"/>
            </w:pPr>
            <w:r>
              <w:t>Quando il distributore “ritiene o ha motivo di ritenere che non sia rispettata la conformità”, deve assicurarsi che venga posto rimedio.</w:t>
            </w:r>
          </w:p>
        </w:tc>
        <w:tc>
          <w:tcPr>
            <w:tcW w:w="3812" w:type="pct"/>
            <w:shd w:val="clear" w:color="auto" w:fill="auto"/>
          </w:tcPr>
          <w:p w:rsidR="004D219C" w:rsidRPr="00AE503E" w:rsidRDefault="004D219C" w:rsidP="00B60B69">
            <w:pPr>
              <w:spacing w:after="60"/>
              <w:jc w:val="both"/>
              <w:rPr>
                <w:u w:val="single"/>
              </w:rPr>
            </w:pPr>
            <w:r w:rsidRPr="00AE503E">
              <w:rPr>
                <w:u w:val="single"/>
              </w:rPr>
              <w:t>CONSERVAZIONE DEI PRODOTTI</w:t>
            </w:r>
          </w:p>
          <w:p w:rsidR="004D219C" w:rsidRDefault="004D219C" w:rsidP="00B60B69">
            <w:pPr>
              <w:spacing w:after="60"/>
              <w:jc w:val="both"/>
            </w:pPr>
          </w:p>
          <w:p w:rsidR="004D219C" w:rsidRPr="00D95470" w:rsidRDefault="004D219C" w:rsidP="004D219C">
            <w:pPr>
              <w:autoSpaceDE w:val="0"/>
              <w:autoSpaceDN w:val="0"/>
              <w:adjustRightInd w:val="0"/>
              <w:rPr>
                <w:b/>
              </w:rPr>
            </w:pPr>
            <w:r w:rsidRPr="004D219C">
              <w:t>I distributori garantiscono che, mentre il materiale elettrico</w:t>
            </w:r>
            <w:r>
              <w:t xml:space="preserve"> è sotto la loro responsabilità</w:t>
            </w:r>
            <w:r w:rsidRPr="004D219C">
              <w:t>, le sue condizioni di</w:t>
            </w:r>
            <w:r>
              <w:t xml:space="preserve"> </w:t>
            </w:r>
            <w:r w:rsidRPr="004D219C">
              <w:t>immagazzinamento o di trasporto non mettono a rischio la sua</w:t>
            </w:r>
            <w:r>
              <w:t xml:space="preserve"> conformità </w:t>
            </w:r>
            <w:r w:rsidRPr="004D219C">
              <w:t>agli obiettivi di sicurezza</w:t>
            </w:r>
            <w:r>
              <w:t xml:space="preserve">. Umidità, polvere, escursioni termiche (compresa l’esposizione al sole) o </w:t>
            </w:r>
            <w:r w:rsidR="00AF7C2C">
              <w:t>carichi eccessivi applicati ai prodotti elettrici ne determinano un deterioramento che condiziona la conformità dei prodotti alla sicurezza ad essa richiesta; la mancata conformità ascrivibile alle cattive condizioni di conservazione diventa imputabile al distributore</w:t>
            </w:r>
            <w:r w:rsidR="00856AE1">
              <w:t xml:space="preserve"> ove non sia dimostrabile dipenda da altri soggetti</w:t>
            </w:r>
            <w:r w:rsidR="00AF7C2C">
              <w:t xml:space="preserve">;  pertanto </w:t>
            </w:r>
            <w:r w:rsidR="00AF7C2C" w:rsidRPr="00D95470">
              <w:rPr>
                <w:b/>
              </w:rPr>
              <w:t xml:space="preserve">È NECESSARIO CHE IL DISTRIBUTORE </w:t>
            </w:r>
            <w:r w:rsidR="00856AE1" w:rsidRPr="00D95470">
              <w:rPr>
                <w:b/>
              </w:rPr>
              <w:t>SI ACCERTI DE</w:t>
            </w:r>
            <w:r w:rsidR="001C1ECA" w:rsidRPr="00D95470">
              <w:rPr>
                <w:b/>
              </w:rPr>
              <w:t xml:space="preserve">LL’INTEGRITA’ DELLE CONFEZIONI E </w:t>
            </w:r>
            <w:r w:rsidR="00856AE1" w:rsidRPr="00D95470">
              <w:rPr>
                <w:b/>
              </w:rPr>
              <w:t>DELLA MANCANZA DI SEGNI DI UMIDITA’ O SCOLORIMENTO DELLE STESSE</w:t>
            </w:r>
          </w:p>
          <w:p w:rsidR="00856AE1" w:rsidRDefault="00856AE1" w:rsidP="004D219C">
            <w:pPr>
              <w:autoSpaceDE w:val="0"/>
              <w:autoSpaceDN w:val="0"/>
              <w:adjustRightInd w:val="0"/>
            </w:pPr>
          </w:p>
          <w:p w:rsidR="00856AE1" w:rsidRPr="00AE503E" w:rsidRDefault="00856AE1" w:rsidP="004D219C">
            <w:pPr>
              <w:autoSpaceDE w:val="0"/>
              <w:autoSpaceDN w:val="0"/>
              <w:adjustRightInd w:val="0"/>
              <w:rPr>
                <w:u w:val="single"/>
              </w:rPr>
            </w:pPr>
            <w:r w:rsidRPr="00AE503E">
              <w:rPr>
                <w:u w:val="single"/>
              </w:rPr>
              <w:t>CONTROLLI VISIVI ULTERIORI</w:t>
            </w:r>
          </w:p>
          <w:p w:rsidR="00856AE1" w:rsidRDefault="00856AE1" w:rsidP="004D219C">
            <w:pPr>
              <w:autoSpaceDE w:val="0"/>
              <w:autoSpaceDN w:val="0"/>
              <w:adjustRightInd w:val="0"/>
            </w:pPr>
          </w:p>
          <w:p w:rsidR="00B60B69" w:rsidRPr="004D219C" w:rsidRDefault="00FA0799" w:rsidP="00B60B69">
            <w:pPr>
              <w:spacing w:after="60"/>
              <w:jc w:val="both"/>
            </w:pPr>
            <w:r w:rsidRPr="004D219C">
              <w:t xml:space="preserve">Sulla base di quanto previsto per i controlli visivi obbligatori è necessario che il distributore apra almeno una confezione per ogni apparecchio di illuminazione che pone in vendita e potrebbe essere opportuno registrare su una </w:t>
            </w:r>
            <w:proofErr w:type="spellStart"/>
            <w:r w:rsidRPr="004D219C">
              <w:t>check</w:t>
            </w:r>
            <w:proofErr w:type="spellEnd"/>
            <w:r w:rsidRPr="004D219C">
              <w:t xml:space="preserve"> list (vedi fac-simile in allegato alla scheda) i risultati </w:t>
            </w:r>
            <w:r w:rsidR="00856AE1">
              <w:t>di tale</w:t>
            </w:r>
            <w:r w:rsidR="00D15188" w:rsidRPr="004D219C">
              <w:t xml:space="preserve"> controllo, in modo da poterli</w:t>
            </w:r>
            <w:r w:rsidRPr="004D219C">
              <w:t xml:space="preserve"> opporre</w:t>
            </w:r>
            <w:r w:rsidR="00D15188" w:rsidRPr="004D219C">
              <w:t>,</w:t>
            </w:r>
            <w:r w:rsidRPr="004D219C">
              <w:t xml:space="preserve"> in caso di eventuali contestazioni</w:t>
            </w:r>
            <w:r w:rsidR="00D15188" w:rsidRPr="004D219C">
              <w:t xml:space="preserve">, </w:t>
            </w:r>
            <w:r w:rsidRPr="004D219C">
              <w:t>dimostrando così il proprio operato in aderenza alla norma.</w:t>
            </w:r>
          </w:p>
          <w:p w:rsidR="00856AE1" w:rsidRDefault="00856AE1" w:rsidP="00B60B69">
            <w:pPr>
              <w:spacing w:after="60"/>
              <w:jc w:val="both"/>
            </w:pPr>
          </w:p>
          <w:p w:rsidR="00856AE1" w:rsidRDefault="00856AE1" w:rsidP="00B60B69">
            <w:pPr>
              <w:spacing w:after="60"/>
              <w:jc w:val="both"/>
            </w:pPr>
            <w:r>
              <w:t>Ove l’esito dei controlli visivi obbligatori</w:t>
            </w:r>
            <w:r w:rsidR="00FA1C99">
              <w:t xml:space="preserve"> sia positivo è opportuno che</w:t>
            </w:r>
            <w:r w:rsidR="00BC05E8">
              <w:t xml:space="preserve"> comunque</w:t>
            </w:r>
            <w:r w:rsidR="00FA1C99">
              <w:t xml:space="preserve"> il distributore valuti i seguenti aspetti:</w:t>
            </w:r>
          </w:p>
          <w:p w:rsidR="00FA1C99" w:rsidRDefault="00FA1C99" w:rsidP="00B60B69">
            <w:pPr>
              <w:spacing w:after="60"/>
              <w:jc w:val="both"/>
            </w:pPr>
          </w:p>
          <w:p w:rsidR="00FA1C99" w:rsidRDefault="00FA1C99" w:rsidP="00FA1C99">
            <w:pPr>
              <w:pStyle w:val="Paragrafoelenco"/>
              <w:numPr>
                <w:ilvl w:val="0"/>
                <w:numId w:val="14"/>
              </w:numPr>
              <w:autoSpaceDE w:val="0"/>
              <w:autoSpaceDN w:val="0"/>
              <w:adjustRightInd w:val="0"/>
            </w:pPr>
            <w:r>
              <w:t xml:space="preserve">RAGIONEVOLE QUALITÀ DEI MATERIALI: il materiale elettrico deve </w:t>
            </w:r>
            <w:r w:rsidRPr="00FA1C99">
              <w:t>present</w:t>
            </w:r>
            <w:r>
              <w:t>are le</w:t>
            </w:r>
            <w:r w:rsidRPr="00FA1C99">
              <w:t xml:space="preserve"> caratteristiche meccaniche </w:t>
            </w:r>
            <w:r>
              <w:t xml:space="preserve">necessarie a </w:t>
            </w:r>
            <w:r w:rsidRPr="00FA1C99">
              <w:t>non causare pericolo alle persone, a</w:t>
            </w:r>
            <w:r>
              <w:t>gli animali domestici e ai beni, è pertanto da rilevare come non conforme la presenza di</w:t>
            </w:r>
            <w:r w:rsidR="00402EE3">
              <w:t xml:space="preserve"> parti acuminate o</w:t>
            </w:r>
            <w:r>
              <w:t xml:space="preserve"> taglienti </w:t>
            </w:r>
            <w:r w:rsidR="00402EE3">
              <w:t xml:space="preserve">dovute a difetti di stampaggio o assemblaggio; </w:t>
            </w:r>
            <w:r>
              <w:t>o la possibilità che</w:t>
            </w:r>
            <w:r w:rsidR="00402EE3">
              <w:t xml:space="preserve"> in base al materiale usato e alla sua destinazione d’uso</w:t>
            </w:r>
            <w:r>
              <w:t xml:space="preserve"> sollecitazioni meccaniche applicate al materiale elettrico </w:t>
            </w:r>
            <w:r w:rsidR="00402EE3">
              <w:t xml:space="preserve">facilmente </w:t>
            </w:r>
            <w:r>
              <w:t xml:space="preserve">ne determinino </w:t>
            </w:r>
            <w:r w:rsidR="00402EE3">
              <w:t>l’insorgenza</w:t>
            </w:r>
          </w:p>
          <w:p w:rsidR="00402EE3" w:rsidRDefault="00BC05E8" w:rsidP="00FA1C99">
            <w:pPr>
              <w:pStyle w:val="Paragrafoelenco"/>
              <w:numPr>
                <w:ilvl w:val="0"/>
                <w:numId w:val="14"/>
              </w:numPr>
              <w:autoSpaceDE w:val="0"/>
              <w:autoSpaceDN w:val="0"/>
              <w:adjustRightInd w:val="0"/>
            </w:pPr>
            <w:r>
              <w:t>RAGIONEVOLE QUALITÀ DELLA SICUREZZA ELETTRICA: la presenza di fili o connessioni elettriche scoperte, l’eccessiva sottigliezza dei cavi elettrici, la presenza di spine elettriche non standard</w:t>
            </w:r>
            <w:r w:rsidR="009C3FFC">
              <w:t>, la presenza di isolamenti in plastica sottile o con strani odori</w:t>
            </w:r>
            <w:r w:rsidR="00AE503E">
              <w:t xml:space="preserve"> sono indice di scarsa sicurezza e conseguentemente non conformità</w:t>
            </w:r>
          </w:p>
          <w:p w:rsidR="00BC05E8" w:rsidRDefault="00BC05E8" w:rsidP="00FA1C99">
            <w:pPr>
              <w:pStyle w:val="Paragrafoelenco"/>
              <w:numPr>
                <w:ilvl w:val="0"/>
                <w:numId w:val="14"/>
              </w:numPr>
              <w:autoSpaceDE w:val="0"/>
              <w:autoSpaceDN w:val="0"/>
              <w:adjustRightInd w:val="0"/>
            </w:pPr>
            <w:r>
              <w:t xml:space="preserve">ASPETTO GRAFICO DELLA MARCATURA CE: </w:t>
            </w:r>
            <w:r w:rsidR="004D1159">
              <w:t xml:space="preserve">spesso, quando la marcatura CE viene apposta in assenza dei dovuti controlli da parte del fabbricante risulta graficamente non conforme o apposta in maniera facilmente rimovibile. Il distributore è tenuto </w:t>
            </w:r>
            <w:r w:rsidR="009C3FFC">
              <w:t xml:space="preserve">dunque </w:t>
            </w:r>
            <w:r w:rsidR="004D1159">
              <w:t xml:space="preserve">a valutare che </w:t>
            </w:r>
            <w:r w:rsidR="009C3FFC">
              <w:t xml:space="preserve">siano rispettate le proporzioni seguenti , senza cioè palesi deformazioni(ad esempio C ed E molto </w:t>
            </w:r>
            <w:r w:rsidR="009C3FFC">
              <w:lastRenderedPageBreak/>
              <w:t>ravvicinati o allungati) e che il marchio</w:t>
            </w:r>
            <w:r w:rsidR="004D1159">
              <w:t xml:space="preserve"> abbi</w:t>
            </w:r>
            <w:r w:rsidR="009C3FFC">
              <w:t>a una dimensione minima di 5 mm:</w:t>
            </w:r>
          </w:p>
          <w:p w:rsidR="009C3FFC" w:rsidRDefault="009C3FFC" w:rsidP="009C3FFC">
            <w:pPr>
              <w:pStyle w:val="Paragrafoelenco"/>
              <w:autoSpaceDE w:val="0"/>
              <w:autoSpaceDN w:val="0"/>
              <w:adjustRightInd w:val="0"/>
            </w:pPr>
          </w:p>
          <w:p w:rsidR="004D1159" w:rsidRDefault="00600ED0" w:rsidP="004D1159">
            <w:pPr>
              <w:pStyle w:val="Paragrafoelenco"/>
              <w:autoSpaceDE w:val="0"/>
              <w:autoSpaceDN w:val="0"/>
              <w:adjustRightInd w:val="0"/>
            </w:pPr>
            <w:r>
              <w:rPr>
                <w:noProof/>
                <w:lang w:eastAsia="it-IT"/>
              </w:rPr>
              <w:drawing>
                <wp:anchor distT="0" distB="0" distL="114300" distR="114300" simplePos="0" relativeHeight="251669504" behindDoc="0" locked="0" layoutInCell="1" allowOverlap="1" wp14:anchorId="3FF8623C" wp14:editId="36DD6DBE">
                  <wp:simplePos x="0" y="0"/>
                  <wp:positionH relativeFrom="column">
                    <wp:posOffset>2788920</wp:posOffset>
                  </wp:positionH>
                  <wp:positionV relativeFrom="paragraph">
                    <wp:posOffset>-177165</wp:posOffset>
                  </wp:positionV>
                  <wp:extent cx="1531620" cy="906780"/>
                  <wp:effectExtent l="0" t="0" r="0" b="7620"/>
                  <wp:wrapNone/>
                  <wp:docPr id="13" name="Immagine 13" descr="V:\Tutela Consumatore\MetrLegale\Statistiche Metrologia\c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utela Consumatore\MetrLegale\Statistiche Metrologia\ce-mar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159" w:rsidRDefault="004D1159" w:rsidP="004D1159">
            <w:pPr>
              <w:pStyle w:val="Paragrafoelenco"/>
              <w:autoSpaceDE w:val="0"/>
              <w:autoSpaceDN w:val="0"/>
              <w:adjustRightInd w:val="0"/>
            </w:pPr>
          </w:p>
          <w:p w:rsidR="00856AE1" w:rsidRDefault="00856AE1" w:rsidP="00B60B69">
            <w:pPr>
              <w:spacing w:after="60"/>
              <w:jc w:val="both"/>
            </w:pPr>
          </w:p>
          <w:p w:rsidR="009C3FFC" w:rsidRDefault="009C3FFC" w:rsidP="00B60B69">
            <w:pPr>
              <w:spacing w:after="60"/>
              <w:jc w:val="both"/>
            </w:pPr>
          </w:p>
          <w:p w:rsidR="00802B0F" w:rsidRDefault="008246D3" w:rsidP="00494711">
            <w:pPr>
              <w:jc w:val="both"/>
            </w:pPr>
            <w:r>
              <w:t>SE UN PRODOTTO NON SUPERA IN MANIERA SODDISFACENTE TUTTI E TRE I CONTROLLI PRECEDENTI</w:t>
            </w:r>
            <w:r w:rsidR="00494711">
              <w:t>,</w:t>
            </w:r>
            <w:r>
              <w:t xml:space="preserve"> E’ OPPORTUNO CHE </w:t>
            </w:r>
            <w:r w:rsidR="00494711">
              <w:t>IL</w:t>
            </w:r>
            <w:r>
              <w:t xml:space="preserve"> DISTRIBUTORE NON PROCEDA ALLA SUA MESSA IN VENDITA </w:t>
            </w:r>
            <w:r w:rsidR="00494711">
              <w:t>E CONTATTI SIA IL SUO FORNITORE CHE LA CAMERA DI COMMERCIO</w:t>
            </w:r>
          </w:p>
          <w:p w:rsidR="00CF4B55" w:rsidRDefault="00CF4B55" w:rsidP="00494711">
            <w:pPr>
              <w:jc w:val="both"/>
            </w:pPr>
          </w:p>
          <w:p w:rsidR="00CF4B55" w:rsidRPr="00CF4B55" w:rsidRDefault="00CF4B55" w:rsidP="00494711">
            <w:pPr>
              <w:jc w:val="both"/>
              <w:rPr>
                <w:u w:val="single"/>
              </w:rPr>
            </w:pPr>
            <w:r w:rsidRPr="00CF4B55">
              <w:rPr>
                <w:u w:val="single"/>
              </w:rPr>
              <w:t>ETICHETTATURA ENERGETICA DELLE SORGENTI LUMINOSE</w:t>
            </w:r>
          </w:p>
          <w:p w:rsidR="00CF4B55" w:rsidRDefault="00CF4B55" w:rsidP="00494711">
            <w:pPr>
              <w:jc w:val="both"/>
            </w:pPr>
          </w:p>
          <w:p w:rsidR="00CF4B55" w:rsidRDefault="00CF4B55" w:rsidP="00494711">
            <w:pPr>
              <w:jc w:val="both"/>
            </w:pPr>
            <w:r>
              <w:t>Il Regolamento delegato 2019/2015 definisce “prodotto contenitore” gli apparecchi di illuminazione in cui la sorgente luminosa (leggasi lampada) possa essere separata ai fini di ispezione e sostituzione. In questo caso potendo essere venduti senza sorgente luminosa</w:t>
            </w:r>
            <w:r w:rsidR="00900300">
              <w:t xml:space="preserve"> non necessitano di etichettatura energetica (in quanto l’efficienza energetica è legata alla fonte luminosa impiegata e non al prodotto contenitore) ma </w:t>
            </w:r>
            <w:r w:rsidR="003F70D5">
              <w:t xml:space="preserve">in questo caso </w:t>
            </w:r>
            <w:r w:rsidR="00900300">
              <w:t xml:space="preserve">l’assenza della sorgente luminosa </w:t>
            </w:r>
            <w:r w:rsidR="007101B0">
              <w:t>deve essere riportata</w:t>
            </w:r>
            <w:r w:rsidR="00900300">
              <w:t xml:space="preserve"> sulla confezione.</w:t>
            </w:r>
          </w:p>
          <w:p w:rsidR="003C702E" w:rsidRDefault="00600ED0" w:rsidP="00494711">
            <w:pPr>
              <w:jc w:val="both"/>
            </w:pPr>
            <w:r>
              <w:rPr>
                <w:noProof/>
                <w:lang w:eastAsia="it-IT"/>
              </w:rPr>
              <w:drawing>
                <wp:anchor distT="0" distB="0" distL="114300" distR="114300" simplePos="0" relativeHeight="251670528" behindDoc="0" locked="0" layoutInCell="1" allowOverlap="1" wp14:anchorId="709E0E19" wp14:editId="7A8FC1CD">
                  <wp:simplePos x="0" y="0"/>
                  <wp:positionH relativeFrom="column">
                    <wp:posOffset>772160</wp:posOffset>
                  </wp:positionH>
                  <wp:positionV relativeFrom="paragraph">
                    <wp:posOffset>114300</wp:posOffset>
                  </wp:positionV>
                  <wp:extent cx="1671320" cy="3191510"/>
                  <wp:effectExtent l="0" t="0" r="5080" b="889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etica 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1320" cy="319151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1552" behindDoc="0" locked="0" layoutInCell="1" allowOverlap="1" wp14:anchorId="216E86EC" wp14:editId="283ABE2A">
                  <wp:simplePos x="0" y="0"/>
                  <wp:positionH relativeFrom="column">
                    <wp:posOffset>3074670</wp:posOffset>
                  </wp:positionH>
                  <wp:positionV relativeFrom="paragraph">
                    <wp:posOffset>114300</wp:posOffset>
                  </wp:positionV>
                  <wp:extent cx="1687195" cy="3192145"/>
                  <wp:effectExtent l="0" t="0" r="8255" b="825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etica ner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7195" cy="3192145"/>
                          </a:xfrm>
                          <a:prstGeom prst="rect">
                            <a:avLst/>
                          </a:prstGeom>
                        </pic:spPr>
                      </pic:pic>
                    </a:graphicData>
                  </a:graphic>
                  <wp14:sizeRelH relativeFrom="page">
                    <wp14:pctWidth>0</wp14:pctWidth>
                  </wp14:sizeRelH>
                  <wp14:sizeRelV relativeFrom="page">
                    <wp14:pctHeight>0</wp14:pctHeight>
                  </wp14:sizeRelV>
                </wp:anchor>
              </w:drawing>
            </w: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695593" w:rsidRDefault="00695593" w:rsidP="00494711">
            <w:pPr>
              <w:jc w:val="both"/>
            </w:pPr>
          </w:p>
          <w:p w:rsidR="00695593" w:rsidRDefault="00695593"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5C1391" w:rsidRDefault="005C1391" w:rsidP="00494711">
            <w:pPr>
              <w:jc w:val="both"/>
            </w:pPr>
          </w:p>
          <w:p w:rsidR="003C702E" w:rsidRDefault="00600ED0" w:rsidP="00494711">
            <w:pPr>
              <w:jc w:val="both"/>
            </w:pPr>
            <w:r>
              <w:t xml:space="preserve">Nel caso in cui invece la sorgente luminosa non possa essere separata dal resto del prodotto, l’apparecchio di illuminazione nel suo insieme è considerato una sorgente luminosa e in quanto tale deve riportare sull’imballaggio l’etichettatura relativa l’efficienza energetica. </w:t>
            </w:r>
            <w:r w:rsidR="003046FA">
              <w:t>Obbligo del distributore è verificare che l’etichetta presente sia c</w:t>
            </w:r>
            <w:r w:rsidR="00B46074">
              <w:t>onforme alle rappresentazioni grafiche precedenti, delle quali quella monocromat</w:t>
            </w:r>
            <w:r w:rsidR="009E612E">
              <w:t>ica è accettabile solo se il res</w:t>
            </w:r>
            <w:r w:rsidR="00B46074">
              <w:t>to della grafica dell’imballo è monocromatico.</w:t>
            </w:r>
          </w:p>
          <w:p w:rsidR="009E612E" w:rsidRDefault="009E612E" w:rsidP="00494711">
            <w:pPr>
              <w:jc w:val="both"/>
            </w:pPr>
          </w:p>
          <w:p w:rsidR="00B46074" w:rsidRDefault="00B46074" w:rsidP="00494711">
            <w:pPr>
              <w:jc w:val="both"/>
            </w:pPr>
            <w:r>
              <w:t>Ove l’etichetta sull’efficienza energetica si trovi su altra superfice dell’imballo diversa dal lato della confezione destinato ad essere esposto al pubblico, su quest’ultimo dovrà essere presente una freccia contenente la classe energetica corrispondente alla fonte luminosa:</w:t>
            </w:r>
          </w:p>
          <w:p w:rsidR="00B46074" w:rsidRDefault="00B46074" w:rsidP="00494711">
            <w:pPr>
              <w:jc w:val="both"/>
            </w:pPr>
          </w:p>
          <w:p w:rsidR="00B46074" w:rsidRDefault="00B46074" w:rsidP="00494711">
            <w:pPr>
              <w:jc w:val="both"/>
            </w:pPr>
          </w:p>
          <w:p w:rsidR="00B46074" w:rsidRDefault="00B46074" w:rsidP="00494711">
            <w:pPr>
              <w:jc w:val="both"/>
            </w:pPr>
            <w:r>
              <w:rPr>
                <w:noProof/>
                <w:lang w:eastAsia="it-IT"/>
              </w:rPr>
              <w:drawing>
                <wp:inline distT="0" distB="0" distL="0" distR="0">
                  <wp:extent cx="4830446" cy="735601"/>
                  <wp:effectExtent l="0" t="0" r="0" b="762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7375" cy="736656"/>
                          </a:xfrm>
                          <a:prstGeom prst="rect">
                            <a:avLst/>
                          </a:prstGeom>
                          <a:noFill/>
                          <a:ln>
                            <a:noFill/>
                          </a:ln>
                        </pic:spPr>
                      </pic:pic>
                    </a:graphicData>
                  </a:graphic>
                </wp:inline>
              </w:drawing>
            </w:r>
          </w:p>
          <w:p w:rsidR="00B46074" w:rsidRDefault="00B46074" w:rsidP="00494711">
            <w:pPr>
              <w:jc w:val="both"/>
            </w:pPr>
          </w:p>
          <w:p w:rsidR="00CF4B55" w:rsidRDefault="00CF4B55" w:rsidP="00494711">
            <w:pPr>
              <w:jc w:val="both"/>
            </w:pPr>
          </w:p>
        </w:tc>
      </w:tr>
      <w:tr w:rsidR="00272345" w:rsidTr="004D219C">
        <w:tc>
          <w:tcPr>
            <w:tcW w:w="1188" w:type="pct"/>
            <w:shd w:val="clear" w:color="auto" w:fill="auto"/>
          </w:tcPr>
          <w:p w:rsidR="00272345" w:rsidRDefault="00272345" w:rsidP="00272345">
            <w:pPr>
              <w:jc w:val="both"/>
            </w:pPr>
            <w:r>
              <w:lastRenderedPageBreak/>
              <w:t>Fac-simile di etichetta</w:t>
            </w:r>
          </w:p>
          <w:p w:rsidR="00272345" w:rsidRDefault="00272345" w:rsidP="00272345">
            <w:pPr>
              <w:jc w:val="both"/>
            </w:pPr>
            <w:r>
              <w:t>esempio di etichetta riportante il contenuto minimo informativo previsto dalla norma</w:t>
            </w:r>
          </w:p>
        </w:tc>
        <w:tc>
          <w:tcPr>
            <w:tcW w:w="3812" w:type="pct"/>
            <w:shd w:val="clear" w:color="auto" w:fill="auto"/>
          </w:tcPr>
          <w:p w:rsidR="00272345" w:rsidRDefault="00272345" w:rsidP="00B60B69">
            <w:pPr>
              <w:spacing w:after="60"/>
              <w:jc w:val="both"/>
              <w:rPr>
                <w:u w:val="single"/>
              </w:rPr>
            </w:pPr>
          </w:p>
          <w:p w:rsidR="0055798B" w:rsidRDefault="0055798B" w:rsidP="00B60B69">
            <w:pPr>
              <w:spacing w:after="60"/>
              <w:jc w:val="both"/>
              <w:rPr>
                <w:u w:val="single"/>
              </w:rPr>
            </w:pPr>
            <w:r>
              <w:rPr>
                <w:noProof/>
                <w:u w:val="single"/>
                <w:lang w:eastAsia="it-IT"/>
              </w:rPr>
              <w:drawing>
                <wp:anchor distT="0" distB="0" distL="114300" distR="114300" simplePos="0" relativeHeight="251676672" behindDoc="0" locked="0" layoutInCell="1" allowOverlap="1" wp14:anchorId="1D89CCF3" wp14:editId="4A88424B">
                  <wp:simplePos x="0" y="0"/>
                  <wp:positionH relativeFrom="column">
                    <wp:posOffset>1329690</wp:posOffset>
                  </wp:positionH>
                  <wp:positionV relativeFrom="paragraph">
                    <wp:posOffset>161925</wp:posOffset>
                  </wp:positionV>
                  <wp:extent cx="3848100" cy="248602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mpio fisso int.jpg"/>
                          <pic:cNvPicPr/>
                        </pic:nvPicPr>
                        <pic:blipFill>
                          <a:blip r:embed="rId17">
                            <a:extLst>
                              <a:ext uri="{28A0092B-C50C-407E-A947-70E740481C1C}">
                                <a14:useLocalDpi xmlns:a14="http://schemas.microsoft.com/office/drawing/2010/main" val="0"/>
                              </a:ext>
                            </a:extLst>
                          </a:blip>
                          <a:stretch>
                            <a:fillRect/>
                          </a:stretch>
                        </pic:blipFill>
                        <pic:spPr>
                          <a:xfrm>
                            <a:off x="0" y="0"/>
                            <a:ext cx="3848100" cy="2486025"/>
                          </a:xfrm>
                          <a:prstGeom prst="rect">
                            <a:avLst/>
                          </a:prstGeom>
                        </pic:spPr>
                      </pic:pic>
                    </a:graphicData>
                  </a:graphic>
                  <wp14:sizeRelH relativeFrom="page">
                    <wp14:pctWidth>0</wp14:pctWidth>
                  </wp14:sizeRelH>
                  <wp14:sizeRelV relativeFrom="page">
                    <wp14:pctHeight>0</wp14:pctHeight>
                  </wp14:sizeRelV>
                </wp:anchor>
              </w:drawing>
            </w: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Pr="00AE503E" w:rsidRDefault="0055798B" w:rsidP="00B60B69">
            <w:pPr>
              <w:spacing w:after="60"/>
              <w:jc w:val="both"/>
              <w:rPr>
                <w:u w:val="single"/>
              </w:rPr>
            </w:pPr>
          </w:p>
        </w:tc>
      </w:tr>
      <w:tr w:rsidR="00802B0F" w:rsidTr="00CF4B55">
        <w:tc>
          <w:tcPr>
            <w:tcW w:w="1188" w:type="pct"/>
          </w:tcPr>
          <w:p w:rsidR="00802B0F" w:rsidRPr="009C3208" w:rsidRDefault="00802B0F" w:rsidP="00CF4B55">
            <w:pPr>
              <w:jc w:val="both"/>
            </w:pPr>
            <w:r>
              <w:t xml:space="preserve">Riferimenti alle norme comunitarie </w:t>
            </w:r>
            <w:r w:rsidRPr="009C3208">
              <w:lastRenderedPageBreak/>
              <w:t>applicabili</w:t>
            </w:r>
          </w:p>
        </w:tc>
        <w:tc>
          <w:tcPr>
            <w:tcW w:w="3812" w:type="pct"/>
          </w:tcPr>
          <w:p w:rsidR="00802B0F" w:rsidRDefault="00802B0F" w:rsidP="00802B0F">
            <w:pPr>
              <w:pStyle w:val="Paragrafoelenco"/>
              <w:numPr>
                <w:ilvl w:val="0"/>
                <w:numId w:val="1"/>
              </w:numPr>
              <w:ind w:left="460" w:hanging="425"/>
              <w:jc w:val="both"/>
            </w:pPr>
            <w:r w:rsidRPr="002F0727">
              <w:rPr>
                <w:b/>
              </w:rPr>
              <w:lastRenderedPageBreak/>
              <w:t>2014/35/UE</w:t>
            </w:r>
            <w:r>
              <w:t xml:space="preserve"> </w:t>
            </w:r>
            <w:r w:rsidRPr="009C3208">
              <w:t>(</w:t>
            </w:r>
            <w:r>
              <w:t>Direttiva Bassa Tensione)</w:t>
            </w:r>
          </w:p>
          <w:p w:rsidR="00802B0F" w:rsidRDefault="00802B0F" w:rsidP="00802B0F">
            <w:pPr>
              <w:pStyle w:val="Paragrafoelenco"/>
              <w:numPr>
                <w:ilvl w:val="0"/>
                <w:numId w:val="1"/>
              </w:numPr>
              <w:ind w:left="460" w:hanging="425"/>
              <w:jc w:val="both"/>
            </w:pPr>
            <w:r w:rsidRPr="002F0727">
              <w:rPr>
                <w:b/>
              </w:rPr>
              <w:lastRenderedPageBreak/>
              <w:t>2014/30/UE</w:t>
            </w:r>
            <w:r w:rsidRPr="009C3208">
              <w:t xml:space="preserve"> (</w:t>
            </w:r>
            <w:r>
              <w:t>Direttiva Compatibilità Elettromagnetica)</w:t>
            </w:r>
          </w:p>
          <w:p w:rsidR="00E5774A" w:rsidRDefault="00E5774A" w:rsidP="00802B0F">
            <w:pPr>
              <w:pStyle w:val="Paragrafoelenco"/>
              <w:numPr>
                <w:ilvl w:val="0"/>
                <w:numId w:val="1"/>
              </w:numPr>
              <w:ind w:left="460" w:hanging="425"/>
              <w:jc w:val="both"/>
            </w:pPr>
            <w:r>
              <w:rPr>
                <w:b/>
              </w:rPr>
              <w:t xml:space="preserve">2011/65/UE </w:t>
            </w:r>
            <w:r w:rsidRPr="00E5774A">
              <w:t>(restrizione dell’uso di sostanze pericolose nelle AEE)</w:t>
            </w:r>
          </w:p>
          <w:p w:rsidR="009E612E" w:rsidRDefault="009E612E" w:rsidP="00802B0F">
            <w:pPr>
              <w:pStyle w:val="Paragrafoelenco"/>
              <w:numPr>
                <w:ilvl w:val="0"/>
                <w:numId w:val="1"/>
              </w:numPr>
              <w:ind w:left="460" w:hanging="425"/>
              <w:jc w:val="both"/>
            </w:pPr>
            <w:r>
              <w:rPr>
                <w:b/>
              </w:rPr>
              <w:t xml:space="preserve">Reg. Delegato UE 2019/2015 </w:t>
            </w:r>
            <w:r w:rsidRPr="009E612E">
              <w:t>(etichettatura energetica delle sorgenti luminose)</w:t>
            </w:r>
          </w:p>
        </w:tc>
      </w:tr>
      <w:tr w:rsidR="00802B0F" w:rsidTr="00CF4B55">
        <w:tc>
          <w:tcPr>
            <w:tcW w:w="1188" w:type="pct"/>
          </w:tcPr>
          <w:p w:rsidR="00802B0F" w:rsidRPr="009C3208" w:rsidRDefault="00802B0F" w:rsidP="00CF4B55">
            <w:pPr>
              <w:jc w:val="both"/>
            </w:pPr>
            <w:r>
              <w:lastRenderedPageBreak/>
              <w:t>Riferimenti alle norme nazionali applicabili</w:t>
            </w:r>
          </w:p>
        </w:tc>
        <w:tc>
          <w:tcPr>
            <w:tcW w:w="3812" w:type="pct"/>
          </w:tcPr>
          <w:p w:rsidR="00802B0F" w:rsidRDefault="00802B0F" w:rsidP="00CF4B55">
            <w:pPr>
              <w:jc w:val="both"/>
            </w:pPr>
            <w:r w:rsidRPr="002F3A95">
              <w:rPr>
                <w:b/>
              </w:rPr>
              <w:t>Decreto Legislativo 19 maggio 2016, n. 86</w:t>
            </w:r>
            <w:r>
              <w:t xml:space="preserve"> (Bassa Tensione)</w:t>
            </w:r>
          </w:p>
          <w:p w:rsidR="00802B0F" w:rsidRDefault="00802B0F" w:rsidP="00CF4B55">
            <w:pPr>
              <w:jc w:val="both"/>
            </w:pPr>
            <w:r w:rsidRPr="002F3A95">
              <w:rPr>
                <w:b/>
              </w:rPr>
              <w:t>Decreto Legislativo 18 maggio 2016, n. 80</w:t>
            </w:r>
            <w:r>
              <w:t xml:space="preserve"> (Compatibilità Elettromagnetica)</w:t>
            </w:r>
          </w:p>
          <w:p w:rsidR="00E5774A" w:rsidRDefault="00E5774A" w:rsidP="00CF4B55">
            <w:pPr>
              <w:jc w:val="both"/>
            </w:pPr>
            <w:r w:rsidRPr="00E5774A">
              <w:rPr>
                <w:b/>
              </w:rPr>
              <w:t>Decreto Legislativo 04 marzo 2014, n. 27</w:t>
            </w:r>
            <w:r>
              <w:t xml:space="preserve"> </w:t>
            </w:r>
            <w:r w:rsidRPr="00E5774A">
              <w:t>(restrizione dell’uso di sostanze pericolose nelle AEE)</w:t>
            </w:r>
          </w:p>
          <w:p w:rsidR="002A4A4E" w:rsidRDefault="002A4A4E" w:rsidP="00CF4B55">
            <w:pPr>
              <w:jc w:val="both"/>
            </w:pPr>
            <w:r w:rsidRPr="002A4A4E">
              <w:rPr>
                <w:b/>
              </w:rPr>
              <w:t>Decreto Legislativo 28 giugno 2012, n.104</w:t>
            </w:r>
            <w:r>
              <w:t xml:space="preserve"> (</w:t>
            </w:r>
            <w:r w:rsidRPr="009E612E">
              <w:t>etichettatura energetica</w:t>
            </w:r>
            <w:r>
              <w:t>)</w:t>
            </w:r>
          </w:p>
        </w:tc>
      </w:tr>
      <w:tr w:rsidR="00802B0F" w:rsidTr="00CF4B55">
        <w:tc>
          <w:tcPr>
            <w:tcW w:w="1188" w:type="pct"/>
          </w:tcPr>
          <w:p w:rsidR="00802B0F" w:rsidRPr="009C3208" w:rsidRDefault="00802B0F" w:rsidP="00CF4B55">
            <w:pPr>
              <w:jc w:val="both"/>
            </w:pPr>
            <w:r>
              <w:t xml:space="preserve">Riferimenti alle norme tecniche </w:t>
            </w:r>
            <w:r w:rsidRPr="009C3208">
              <w:t>applicabili</w:t>
            </w:r>
          </w:p>
        </w:tc>
        <w:tc>
          <w:tcPr>
            <w:tcW w:w="3812" w:type="pct"/>
          </w:tcPr>
          <w:p w:rsidR="00802B0F" w:rsidRDefault="00802B0F" w:rsidP="00802B0F">
            <w:pPr>
              <w:pStyle w:val="Paragrafoelenco"/>
              <w:numPr>
                <w:ilvl w:val="0"/>
                <w:numId w:val="2"/>
              </w:numPr>
              <w:ind w:left="460" w:hanging="425"/>
              <w:jc w:val="both"/>
            </w:pPr>
            <w:r w:rsidRPr="008B465B">
              <w:rPr>
                <w:b/>
              </w:rPr>
              <w:t>EN 60598-1</w:t>
            </w:r>
            <w:r>
              <w:t>: “</w:t>
            </w:r>
            <w:r w:rsidRPr="008B465B">
              <w:rPr>
                <w:i/>
              </w:rPr>
              <w:t>Apparecchi di illuminazione. Parte 1: Prescrizioni generali e prove</w:t>
            </w:r>
            <w:r>
              <w:t>”</w:t>
            </w:r>
          </w:p>
          <w:p w:rsidR="00802B0F" w:rsidRDefault="00802B0F" w:rsidP="00802B0F">
            <w:pPr>
              <w:pStyle w:val="Paragrafoelenco"/>
              <w:numPr>
                <w:ilvl w:val="0"/>
                <w:numId w:val="2"/>
              </w:numPr>
              <w:ind w:left="460" w:hanging="425"/>
              <w:jc w:val="both"/>
            </w:pPr>
            <w:r w:rsidRPr="008B465B">
              <w:rPr>
                <w:b/>
              </w:rPr>
              <w:t>EN 60598-2-</w:t>
            </w:r>
            <w:r w:rsidR="000259D6">
              <w:rPr>
                <w:b/>
              </w:rPr>
              <w:t>1</w:t>
            </w:r>
            <w:r>
              <w:t>: “</w:t>
            </w:r>
            <w:r w:rsidR="000259D6">
              <w:rPr>
                <w:i/>
              </w:rPr>
              <w:t>Parte 2-1</w:t>
            </w:r>
            <w:r w:rsidRPr="008B465B">
              <w:rPr>
                <w:i/>
              </w:rPr>
              <w:t xml:space="preserve">: Prescrizioni particolari – Apparecchi di illuminazione </w:t>
            </w:r>
            <w:r w:rsidR="000259D6">
              <w:rPr>
                <w:i/>
              </w:rPr>
              <w:t>fissi per uso generale</w:t>
            </w:r>
            <w:r>
              <w:t>”</w:t>
            </w:r>
          </w:p>
          <w:p w:rsidR="00301C1C" w:rsidRDefault="00301C1C" w:rsidP="000259D6">
            <w:pPr>
              <w:pStyle w:val="Paragrafoelenco"/>
              <w:numPr>
                <w:ilvl w:val="0"/>
                <w:numId w:val="2"/>
              </w:numPr>
              <w:ind w:left="460" w:hanging="425"/>
              <w:jc w:val="both"/>
            </w:pPr>
            <w:r w:rsidRPr="008B465B">
              <w:rPr>
                <w:b/>
              </w:rPr>
              <w:t>EN 60598-2-</w:t>
            </w:r>
            <w:r>
              <w:rPr>
                <w:b/>
              </w:rPr>
              <w:t>2</w:t>
            </w:r>
            <w:r>
              <w:t>: “</w:t>
            </w:r>
            <w:r>
              <w:rPr>
                <w:i/>
              </w:rPr>
              <w:t>Parte 2-2</w:t>
            </w:r>
            <w:r w:rsidRPr="008B465B">
              <w:rPr>
                <w:i/>
              </w:rPr>
              <w:t xml:space="preserve">: Prescrizioni particolari – Apparecchi di illuminazione </w:t>
            </w:r>
            <w:r>
              <w:rPr>
                <w:i/>
              </w:rPr>
              <w:t>da incasso</w:t>
            </w:r>
            <w:r>
              <w:t>”</w:t>
            </w:r>
          </w:p>
          <w:p w:rsidR="00802B0F" w:rsidRDefault="00802B0F" w:rsidP="00802B0F">
            <w:pPr>
              <w:pStyle w:val="Paragrafoelenco"/>
              <w:numPr>
                <w:ilvl w:val="0"/>
                <w:numId w:val="2"/>
              </w:numPr>
              <w:ind w:left="460" w:hanging="425"/>
              <w:jc w:val="both"/>
            </w:pPr>
            <w:r w:rsidRPr="00D96F5E">
              <w:rPr>
                <w:b/>
              </w:rPr>
              <w:t>EN 55015</w:t>
            </w:r>
            <w:r>
              <w:t>:</w:t>
            </w:r>
            <w:r w:rsidRPr="009C3208">
              <w:t xml:space="preserve">- </w:t>
            </w:r>
            <w:r>
              <w:t>“</w:t>
            </w:r>
            <w:r w:rsidRPr="00D96F5E">
              <w:rPr>
                <w:i/>
              </w:rPr>
              <w:t>Limiti e metodi di misura delle caratteristiche di radiodisturbo delle apparecchiature elettriche di illuminazione e apparecchiature similari</w:t>
            </w:r>
            <w:r>
              <w:t>”(</w:t>
            </w:r>
            <w:r w:rsidRPr="00735C58">
              <w:rPr>
                <w:vertAlign w:val="superscript"/>
              </w:rPr>
              <w:t>1</w:t>
            </w:r>
            <w:r>
              <w:t>)</w:t>
            </w:r>
          </w:p>
          <w:p w:rsidR="00802B0F" w:rsidRDefault="00802B0F" w:rsidP="00802B0F">
            <w:pPr>
              <w:pStyle w:val="Paragrafoelenco"/>
              <w:numPr>
                <w:ilvl w:val="0"/>
                <w:numId w:val="2"/>
              </w:numPr>
              <w:ind w:left="460" w:hanging="425"/>
              <w:jc w:val="both"/>
              <w:rPr>
                <w:i/>
              </w:rPr>
            </w:pPr>
            <w:r w:rsidRPr="008B465B">
              <w:rPr>
                <w:b/>
              </w:rPr>
              <w:t>EN 61000-3-2</w:t>
            </w:r>
            <w:r>
              <w:t>: “</w:t>
            </w:r>
            <w:r w:rsidRPr="008B465B">
              <w:rPr>
                <w:i/>
              </w:rPr>
              <w:t>Compatibilità elettromagnetica (EMC). Parte 3-2: Limiti - Limiti per le emissioni di corrente armonica (apparecchiature con corrente in ingresso &lt;= 16 A)”</w:t>
            </w:r>
            <w:r>
              <w:t xml:space="preserve"> (</w:t>
            </w:r>
            <w:r w:rsidRPr="00735C58">
              <w:rPr>
                <w:vertAlign w:val="superscript"/>
              </w:rPr>
              <w:t>1</w:t>
            </w:r>
            <w:r>
              <w:t>)</w:t>
            </w:r>
          </w:p>
          <w:p w:rsidR="00802B0F" w:rsidRPr="00922A30" w:rsidRDefault="00802B0F" w:rsidP="00802B0F">
            <w:pPr>
              <w:pStyle w:val="Paragrafoelenco"/>
              <w:numPr>
                <w:ilvl w:val="0"/>
                <w:numId w:val="2"/>
              </w:numPr>
              <w:ind w:left="460" w:hanging="425"/>
              <w:jc w:val="both"/>
              <w:rPr>
                <w:i/>
              </w:rPr>
            </w:pPr>
            <w:r w:rsidRPr="00922A30">
              <w:rPr>
                <w:b/>
              </w:rPr>
              <w:t>EN 61000-3-3</w:t>
            </w:r>
            <w:r>
              <w:t>:</w:t>
            </w:r>
            <w:r w:rsidRPr="009C3208">
              <w:t xml:space="preserve"> </w:t>
            </w:r>
            <w:r>
              <w:t>“</w:t>
            </w:r>
            <w:r w:rsidRPr="00922A30">
              <w:rPr>
                <w:i/>
              </w:rPr>
              <w:t xml:space="preserve">Compatibilità elettromagnetica (EMC). Parte 3-3: Limiti - Limitazione delle variazioni di tensioni, delle fluttuazioni di tensione e del </w:t>
            </w:r>
            <w:proofErr w:type="spellStart"/>
            <w:r w:rsidRPr="00922A30">
              <w:rPr>
                <w:i/>
              </w:rPr>
              <w:t>flicker</w:t>
            </w:r>
            <w:proofErr w:type="spellEnd"/>
            <w:r w:rsidRPr="00922A30">
              <w:rPr>
                <w:i/>
              </w:rPr>
              <w:t xml:space="preserve"> in sistemi di alimentazione in bassa tensione per apparecchiature con corrente nominale &lt;=16 A per fase e non soggette ad allacciamento su condizione</w:t>
            </w:r>
            <w:r>
              <w:t>” (</w:t>
            </w:r>
            <w:r w:rsidRPr="00735C58">
              <w:rPr>
                <w:vertAlign w:val="superscript"/>
              </w:rPr>
              <w:t>1</w:t>
            </w:r>
            <w:r>
              <w:t>)</w:t>
            </w:r>
          </w:p>
          <w:p w:rsidR="00802B0F" w:rsidRPr="00922A30" w:rsidRDefault="00802B0F" w:rsidP="00802B0F">
            <w:pPr>
              <w:pStyle w:val="Paragrafoelenco"/>
              <w:numPr>
                <w:ilvl w:val="0"/>
                <w:numId w:val="2"/>
              </w:numPr>
              <w:ind w:left="460" w:hanging="425"/>
              <w:jc w:val="both"/>
              <w:rPr>
                <w:i/>
              </w:rPr>
            </w:pPr>
            <w:r w:rsidRPr="00922A30">
              <w:rPr>
                <w:b/>
              </w:rPr>
              <w:t>EN 61547</w:t>
            </w:r>
            <w:r>
              <w:t>:</w:t>
            </w:r>
            <w:r w:rsidRPr="009C3208">
              <w:t xml:space="preserve"> </w:t>
            </w:r>
            <w:r>
              <w:t>“</w:t>
            </w:r>
            <w:r w:rsidRPr="00922A30">
              <w:rPr>
                <w:i/>
              </w:rPr>
              <w:t>Apparecchiature per illuminazione generale - Prescrizioni di immunità EMC</w:t>
            </w:r>
            <w:r>
              <w:t>” (</w:t>
            </w:r>
            <w:r w:rsidRPr="00735C58">
              <w:rPr>
                <w:vertAlign w:val="superscript"/>
              </w:rPr>
              <w:t>1</w:t>
            </w:r>
            <w:r>
              <w:t>)</w:t>
            </w:r>
          </w:p>
          <w:p w:rsidR="00802B0F" w:rsidRDefault="00802B0F" w:rsidP="00CF4B55">
            <w:pPr>
              <w:jc w:val="both"/>
            </w:pPr>
          </w:p>
          <w:p w:rsidR="00802B0F" w:rsidRDefault="00802B0F" w:rsidP="00CF4B55">
            <w:pPr>
              <w:jc w:val="both"/>
            </w:pPr>
            <w:r>
              <w:rPr>
                <w:b/>
              </w:rPr>
              <w:t>(</w:t>
            </w:r>
            <w:r w:rsidRPr="00715C0F">
              <w:rPr>
                <w:b/>
              </w:rPr>
              <w:t>1</w:t>
            </w:r>
            <w:r>
              <w:rPr>
                <w:b/>
              </w:rPr>
              <w:t>)</w:t>
            </w:r>
            <w:r>
              <w:t xml:space="preserve">: </w:t>
            </w:r>
            <w:r w:rsidRPr="009C3208">
              <w:t xml:space="preserve">La compatibilità elettromagnetica </w:t>
            </w:r>
            <w:r>
              <w:t>(</w:t>
            </w:r>
            <w:r w:rsidRPr="009C3208">
              <w:t>EMC</w:t>
            </w:r>
            <w:r>
              <w:t>)</w:t>
            </w:r>
            <w:r w:rsidRPr="009C3208">
              <w:t xml:space="preserve"> non si applica agli apparecchi con lampade</w:t>
            </w:r>
            <w:r>
              <w:t xml:space="preserve"> </w:t>
            </w:r>
            <w:r w:rsidRPr="009C3208">
              <w:t>ad incandescenza senza dispositivi elettronici (</w:t>
            </w:r>
            <w:r>
              <w:t>ad esempio trasformatori</w:t>
            </w:r>
            <w:r w:rsidRPr="009C3208">
              <w:t xml:space="preserve"> </w:t>
            </w:r>
            <w:r>
              <w:t xml:space="preserve">o </w:t>
            </w:r>
            <w:proofErr w:type="spellStart"/>
            <w:r>
              <w:t>dimmer</w:t>
            </w:r>
            <w:proofErr w:type="spellEnd"/>
            <w:r w:rsidRPr="009C3208">
              <w:t>)</w:t>
            </w:r>
          </w:p>
        </w:tc>
      </w:tr>
      <w:tr w:rsidR="00802B0F" w:rsidTr="00CF4B55">
        <w:tc>
          <w:tcPr>
            <w:tcW w:w="1188" w:type="pct"/>
          </w:tcPr>
          <w:p w:rsidR="00802B0F" w:rsidRDefault="00802B0F" w:rsidP="00CF4B55">
            <w:pPr>
              <w:jc w:val="both"/>
            </w:pPr>
          </w:p>
          <w:p w:rsidR="00802B0F" w:rsidRDefault="00802B0F" w:rsidP="00CF4B55">
            <w:pPr>
              <w:jc w:val="both"/>
            </w:pPr>
            <w:r>
              <w:t>Riferimento sito esplicativo</w:t>
            </w:r>
          </w:p>
        </w:tc>
        <w:tc>
          <w:tcPr>
            <w:tcW w:w="3812" w:type="pct"/>
          </w:tcPr>
          <w:p w:rsidR="00802B0F" w:rsidRDefault="00802B0F" w:rsidP="00CF4B55">
            <w:pPr>
              <w:ind w:left="35"/>
              <w:jc w:val="both"/>
              <w:rPr>
                <w:b/>
              </w:rPr>
            </w:pPr>
          </w:p>
          <w:p w:rsidR="00802B0F" w:rsidRDefault="00ED7A55" w:rsidP="00CF4B55">
            <w:pPr>
              <w:ind w:left="35"/>
              <w:jc w:val="both"/>
              <w:rPr>
                <w:b/>
              </w:rPr>
            </w:pPr>
            <w:hyperlink r:id="rId18" w:history="1">
              <w:r w:rsidR="00802B0F" w:rsidRPr="00DE5149">
                <w:rPr>
                  <w:rStyle w:val="Collegamentoipertestuale"/>
                  <w:b/>
                </w:rPr>
                <w:t>https://europa.eu/youreurope/business/product-requirements/compliance/index_it.htm?pk_campaign=SDG&amp;pk_kwd=launch&amp;pk_source=sea&amp;pk_medium=search&amp;pk_content=compliance</w:t>
              </w:r>
            </w:hyperlink>
          </w:p>
          <w:p w:rsidR="00802B0F" w:rsidRPr="00933694" w:rsidRDefault="00802B0F" w:rsidP="00CF4B55">
            <w:pPr>
              <w:ind w:left="35"/>
              <w:jc w:val="both"/>
              <w:rPr>
                <w:b/>
              </w:rPr>
            </w:pPr>
          </w:p>
        </w:tc>
      </w:tr>
      <w:tr w:rsidR="00802B0F" w:rsidTr="00CF4B55">
        <w:tc>
          <w:tcPr>
            <w:tcW w:w="1188" w:type="pct"/>
          </w:tcPr>
          <w:p w:rsidR="00802B0F" w:rsidRDefault="00802B0F" w:rsidP="00CF4B55">
            <w:pPr>
              <w:jc w:val="both"/>
            </w:pPr>
            <w:r>
              <w:t>Sanzioni comminabili al distributore</w:t>
            </w:r>
          </w:p>
        </w:tc>
        <w:tc>
          <w:tcPr>
            <w:tcW w:w="3812" w:type="pct"/>
          </w:tcPr>
          <w:p w:rsidR="00802B0F" w:rsidRDefault="00802B0F" w:rsidP="00CF4B55">
            <w:pPr>
              <w:jc w:val="both"/>
            </w:pPr>
            <w:r>
              <w:t xml:space="preserve">Poiché ai sensi dell’art. 6 del </w:t>
            </w:r>
            <w:proofErr w:type="spellStart"/>
            <w:r>
              <w:t>D.Lgs.</w:t>
            </w:r>
            <w:proofErr w:type="spellEnd"/>
            <w:r>
              <w:t xml:space="preserve"> 86/2016 i distributori prima di mettere un prodotto a disposizione sul mercato assicurano che esso:</w:t>
            </w:r>
          </w:p>
          <w:p w:rsidR="00802B0F" w:rsidRDefault="00802B0F" w:rsidP="00CF4B55">
            <w:pPr>
              <w:jc w:val="both"/>
            </w:pPr>
          </w:p>
          <w:p w:rsidR="00802B0F" w:rsidRDefault="00802B0F" w:rsidP="00802B0F">
            <w:pPr>
              <w:pStyle w:val="Paragrafoelenco"/>
              <w:numPr>
                <w:ilvl w:val="0"/>
                <w:numId w:val="10"/>
              </w:numPr>
              <w:ind w:left="459" w:hanging="426"/>
              <w:jc w:val="both"/>
            </w:pPr>
            <w:r>
              <w:t>rechi la marcatura CE</w:t>
            </w:r>
          </w:p>
          <w:p w:rsidR="00802B0F" w:rsidRDefault="00802B0F" w:rsidP="00802B0F">
            <w:pPr>
              <w:pStyle w:val="Paragrafoelenco"/>
              <w:numPr>
                <w:ilvl w:val="0"/>
                <w:numId w:val="10"/>
              </w:numPr>
              <w:ind w:left="459" w:hanging="426"/>
              <w:jc w:val="both"/>
            </w:pPr>
            <w:r>
              <w:t>sia accompagnato dalla documentazione richiesta, nonché da istruzioni e informazioni sulla sicu</w:t>
            </w:r>
            <w:r w:rsidR="00494711">
              <w:t>rezza in lingua italiana</w:t>
            </w:r>
          </w:p>
          <w:p w:rsidR="00802B0F" w:rsidRDefault="00802B0F" w:rsidP="00802B0F">
            <w:pPr>
              <w:pStyle w:val="Paragrafoelenco"/>
              <w:numPr>
                <w:ilvl w:val="0"/>
                <w:numId w:val="10"/>
              </w:numPr>
              <w:ind w:left="459" w:hanging="426"/>
              <w:jc w:val="both"/>
            </w:pPr>
            <w:r>
              <w:t>rechi gli estremi del fabbricante</w:t>
            </w:r>
          </w:p>
          <w:p w:rsidR="00802B0F" w:rsidRDefault="00802B0F" w:rsidP="00802B0F">
            <w:pPr>
              <w:pStyle w:val="Paragrafoelenco"/>
              <w:numPr>
                <w:ilvl w:val="0"/>
                <w:numId w:val="10"/>
              </w:numPr>
              <w:ind w:left="459" w:hanging="426"/>
              <w:jc w:val="both"/>
            </w:pPr>
            <w:r>
              <w:t>rechi gli estremi dell’importatore (se applicabile)</w:t>
            </w:r>
          </w:p>
          <w:p w:rsidR="00802B0F" w:rsidRDefault="00802B0F" w:rsidP="00802B0F">
            <w:pPr>
              <w:pStyle w:val="Paragrafoelenco"/>
              <w:numPr>
                <w:ilvl w:val="0"/>
                <w:numId w:val="10"/>
              </w:numPr>
              <w:ind w:left="459" w:hanging="426"/>
              <w:jc w:val="both"/>
            </w:pPr>
            <w:r>
              <w:t>rechi un codice identificativo</w:t>
            </w:r>
          </w:p>
          <w:p w:rsidR="00802B0F" w:rsidRDefault="00802B0F" w:rsidP="00CF4B55">
            <w:pPr>
              <w:jc w:val="both"/>
            </w:pPr>
          </w:p>
          <w:p w:rsidR="00802B0F" w:rsidRDefault="00802B0F" w:rsidP="00CF4B55">
            <w:pPr>
              <w:jc w:val="both"/>
            </w:pPr>
            <w:bookmarkStart w:id="0" w:name="_GoBack"/>
            <w:r>
              <w:lastRenderedPageBreak/>
              <w:t xml:space="preserve">il mancato rispetto degli obblighi </w:t>
            </w:r>
            <w:r w:rsidR="00ED7A55">
              <w:t>precedenti</w:t>
            </w:r>
            <w:r>
              <w:t xml:space="preserve"> da parte di un distributore è punito con una sanzione amministrativa pecuniaria da </w:t>
            </w:r>
            <w:r w:rsidRPr="00F27728">
              <w:rPr>
                <w:b/>
              </w:rPr>
              <w:t xml:space="preserve">500 € </w:t>
            </w:r>
            <w:r w:rsidRPr="00F27728">
              <w:t>a</w:t>
            </w:r>
            <w:r w:rsidRPr="00F27728">
              <w:rPr>
                <w:b/>
              </w:rPr>
              <w:t xml:space="preserve"> 5</w:t>
            </w:r>
            <w:r w:rsidR="00D95470">
              <w:rPr>
                <w:b/>
              </w:rPr>
              <w:t>.</w:t>
            </w:r>
            <w:r w:rsidRPr="00F27728">
              <w:rPr>
                <w:b/>
              </w:rPr>
              <w:t>000 €</w:t>
            </w:r>
            <w:r w:rsidR="00ED7A55">
              <w:t xml:space="preserve"> (Art.14.7 </w:t>
            </w:r>
            <w:proofErr w:type="spellStart"/>
            <w:r w:rsidR="00ED7A55">
              <w:t>D.Lgs</w:t>
            </w:r>
            <w:proofErr w:type="spellEnd"/>
            <w:r w:rsidR="00ED7A55">
              <w:t xml:space="preserve"> 86/2016).</w:t>
            </w:r>
          </w:p>
          <w:bookmarkEnd w:id="0"/>
          <w:p w:rsidR="00802B0F" w:rsidRDefault="00802B0F" w:rsidP="00CF4B55">
            <w:pPr>
              <w:jc w:val="both"/>
            </w:pPr>
          </w:p>
          <w:p w:rsidR="00802B0F" w:rsidRDefault="009E612E" w:rsidP="00CF4B55">
            <w:pPr>
              <w:jc w:val="both"/>
            </w:pPr>
            <w:r>
              <w:t>S</w:t>
            </w:r>
            <w:r w:rsidR="00802B0F">
              <w:t xml:space="preserve">alvo che il fatto costituisca reato, il distributore che effettua la messa a disposizione sul mercato di prodotti per i quali ritiene o ha motivo di ritenere che non sia rispettata la conformità, o effettua la messa a disposizione in violazione di un provvedimento di divieto emesso dall’Autorità di vigilanza, è soggetto ad una sanzione amministrativa pecuniaria di una somma da </w:t>
            </w:r>
            <w:r w:rsidR="00802B0F" w:rsidRPr="00DA05AC">
              <w:rPr>
                <w:b/>
              </w:rPr>
              <w:t xml:space="preserve">50 € </w:t>
            </w:r>
            <w:r w:rsidR="00802B0F" w:rsidRPr="00DA05AC">
              <w:t>a</w:t>
            </w:r>
            <w:r w:rsidR="00802B0F" w:rsidRPr="00DA05AC">
              <w:rPr>
                <w:b/>
              </w:rPr>
              <w:t xml:space="preserve"> 150 € per ogni singolo pezzo</w:t>
            </w:r>
            <w:r w:rsidR="00802B0F">
              <w:t xml:space="preserve"> e, in ogni caso, </w:t>
            </w:r>
            <w:r w:rsidR="00802B0F" w:rsidRPr="00DA05AC">
              <w:rPr>
                <w:b/>
              </w:rPr>
              <w:t xml:space="preserve">non inferiore a </w:t>
            </w:r>
            <w:r w:rsidR="00802B0F">
              <w:rPr>
                <w:b/>
              </w:rPr>
              <w:t>800</w:t>
            </w:r>
            <w:r w:rsidR="00802B0F" w:rsidRPr="00DA05AC">
              <w:rPr>
                <w:b/>
              </w:rPr>
              <w:t xml:space="preserve"> €</w:t>
            </w:r>
            <w:r w:rsidR="00802B0F">
              <w:t xml:space="preserve"> e </w:t>
            </w:r>
            <w:r w:rsidR="00802B0F" w:rsidRPr="00DA05AC">
              <w:rPr>
                <w:b/>
              </w:rPr>
              <w:t xml:space="preserve">non superiore a </w:t>
            </w:r>
            <w:r w:rsidR="00802B0F">
              <w:rPr>
                <w:b/>
              </w:rPr>
              <w:t>5</w:t>
            </w:r>
            <w:r w:rsidR="00802B0F" w:rsidRPr="00DA05AC">
              <w:rPr>
                <w:b/>
              </w:rPr>
              <w:t>.000 €</w:t>
            </w:r>
            <w:r w:rsidR="00802B0F">
              <w:t xml:space="preserve"> (Art.14.6 </w:t>
            </w:r>
            <w:proofErr w:type="spellStart"/>
            <w:r w:rsidR="00802B0F">
              <w:t>D.Lgs</w:t>
            </w:r>
            <w:proofErr w:type="spellEnd"/>
            <w:r w:rsidR="00802B0F">
              <w:t xml:space="preserve"> 86/2016)</w:t>
            </w:r>
          </w:p>
          <w:p w:rsidR="009E612E" w:rsidRDefault="009E612E" w:rsidP="00CF4B55">
            <w:pPr>
              <w:jc w:val="both"/>
            </w:pPr>
          </w:p>
          <w:p w:rsidR="009E612E" w:rsidRDefault="009E612E" w:rsidP="00CF4B55">
            <w:pPr>
              <w:jc w:val="both"/>
            </w:pPr>
            <w:r>
              <w:t xml:space="preserve">Infine, </w:t>
            </w:r>
            <w:r w:rsidR="002A4A4E">
              <w:t xml:space="preserve">il distributore </w:t>
            </w:r>
            <w:r w:rsidR="007101B0">
              <w:t>che espone prodotti privi dell’</w:t>
            </w:r>
            <w:r w:rsidR="002A4A4E">
              <w:t xml:space="preserve">etichetta energetica obbligatoria è punito con una sanzione amministrativa pecuniaria da </w:t>
            </w:r>
            <w:r w:rsidR="002A4A4E">
              <w:rPr>
                <w:b/>
              </w:rPr>
              <w:t>1000</w:t>
            </w:r>
            <w:r w:rsidR="002A4A4E" w:rsidRPr="00F27728">
              <w:rPr>
                <w:b/>
              </w:rPr>
              <w:t xml:space="preserve"> € </w:t>
            </w:r>
            <w:r w:rsidR="002A4A4E" w:rsidRPr="00F27728">
              <w:t>a</w:t>
            </w:r>
            <w:r w:rsidR="002A4A4E" w:rsidRPr="00F27728">
              <w:rPr>
                <w:b/>
              </w:rPr>
              <w:t xml:space="preserve"> </w:t>
            </w:r>
            <w:r w:rsidR="002A4A4E">
              <w:rPr>
                <w:b/>
              </w:rPr>
              <w:t>10.</w:t>
            </w:r>
            <w:r w:rsidR="002A4A4E" w:rsidRPr="00F27728">
              <w:rPr>
                <w:b/>
              </w:rPr>
              <w:t>000 €</w:t>
            </w:r>
            <w:r w:rsidR="002A4A4E">
              <w:t xml:space="preserve"> (Art.</w:t>
            </w:r>
            <w:r w:rsidR="00A0693F">
              <w:t>13.d</w:t>
            </w:r>
            <w:r w:rsidR="002A4A4E">
              <w:t xml:space="preserve"> </w:t>
            </w:r>
            <w:proofErr w:type="spellStart"/>
            <w:r w:rsidR="002A4A4E">
              <w:t>D.Lgs</w:t>
            </w:r>
            <w:proofErr w:type="spellEnd"/>
            <w:r w:rsidR="002A4A4E">
              <w:t xml:space="preserve"> </w:t>
            </w:r>
            <w:r w:rsidR="00A0693F">
              <w:t>104</w:t>
            </w:r>
            <w:r w:rsidR="002A4A4E">
              <w:t>/20</w:t>
            </w:r>
            <w:r w:rsidR="00A0693F">
              <w:t>12</w:t>
            </w:r>
            <w:r w:rsidR="002A4A4E">
              <w:t>);</w:t>
            </w:r>
            <w:r w:rsidR="00A0693F">
              <w:t xml:space="preserve"> mentre il distributore che espone prodotti con etichetta energetica obbligatoria </w:t>
            </w:r>
            <w:r w:rsidR="007101B0">
              <w:t xml:space="preserve">ma </w:t>
            </w:r>
            <w:r w:rsidR="00A0693F">
              <w:t>non visibile o non leggibile oppure, prodotti con marchi, iscrizioni o simboli tali da indurre in errore o ingenerare confusione</w:t>
            </w:r>
            <w:r w:rsidR="007101B0">
              <w:t>,</w:t>
            </w:r>
            <w:r w:rsidR="00A0693F">
              <w:t xml:space="preserve"> </w:t>
            </w:r>
            <w:r w:rsidR="007101B0">
              <w:t xml:space="preserve">in relazione ai consumi energetici, </w:t>
            </w:r>
            <w:r w:rsidR="00A0693F">
              <w:t xml:space="preserve">negli utilizzatori finali, è punito con una sanzione amministrativa pecuniaria da </w:t>
            </w:r>
            <w:r w:rsidR="00A0693F">
              <w:rPr>
                <w:b/>
              </w:rPr>
              <w:t>500</w:t>
            </w:r>
            <w:r w:rsidR="00A0693F" w:rsidRPr="00F27728">
              <w:rPr>
                <w:b/>
              </w:rPr>
              <w:t xml:space="preserve"> € </w:t>
            </w:r>
            <w:r w:rsidR="00A0693F" w:rsidRPr="00F27728">
              <w:t>a</w:t>
            </w:r>
            <w:r w:rsidR="00A0693F" w:rsidRPr="00F27728">
              <w:rPr>
                <w:b/>
              </w:rPr>
              <w:t xml:space="preserve"> </w:t>
            </w:r>
            <w:r w:rsidR="00A0693F">
              <w:rPr>
                <w:b/>
              </w:rPr>
              <w:t>5.</w:t>
            </w:r>
            <w:r w:rsidR="00A0693F" w:rsidRPr="00F27728">
              <w:rPr>
                <w:b/>
              </w:rPr>
              <w:t>000 €</w:t>
            </w:r>
            <w:r w:rsidR="00A0693F">
              <w:t xml:space="preserve"> (Art.13.e </w:t>
            </w:r>
            <w:proofErr w:type="spellStart"/>
            <w:r w:rsidR="00A0693F">
              <w:t>D.Lgs</w:t>
            </w:r>
            <w:proofErr w:type="spellEnd"/>
            <w:r w:rsidR="00A0693F">
              <w:t xml:space="preserve"> 104/2012)</w:t>
            </w:r>
          </w:p>
          <w:p w:rsidR="00802B0F" w:rsidRDefault="00802B0F" w:rsidP="00CF4B55">
            <w:pPr>
              <w:jc w:val="both"/>
            </w:pPr>
          </w:p>
          <w:p w:rsidR="00802B0F" w:rsidRDefault="00802B0F" w:rsidP="00CF4B55">
            <w:pPr>
              <w:jc w:val="both"/>
            </w:pPr>
            <w:r w:rsidRPr="0058194D">
              <w:rPr>
                <w:b/>
              </w:rPr>
              <w:t>NOTA</w:t>
            </w:r>
            <w:r>
              <w:t xml:space="preserve">: un distributore </w:t>
            </w:r>
            <w:r w:rsidRPr="00467FC1">
              <w:rPr>
                <w:b/>
              </w:rPr>
              <w:t>è soggetto direttamente agli obblighi del fabbricante ed è ritenuto tale</w:t>
            </w:r>
            <w:r>
              <w:t xml:space="preserve"> ai fini del D. </w:t>
            </w:r>
            <w:proofErr w:type="spellStart"/>
            <w:r>
              <w:t>Lgs</w:t>
            </w:r>
            <w:proofErr w:type="spellEnd"/>
            <w:r>
              <w:t xml:space="preserve"> 86/2016, nel caso in cui immetta sul mercato il materiale elettrico con il proprio nome o marchio commerciale, o modifichi suddetto materiale già immesso sul mercato in modo da poterne condizionare la conformità</w:t>
            </w:r>
          </w:p>
        </w:tc>
      </w:tr>
    </w:tbl>
    <w:p w:rsidR="00802B0F" w:rsidRDefault="00802B0F"/>
    <w:sectPr w:rsidR="00802B0F" w:rsidSect="00802B0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AD1"/>
    <w:multiLevelType w:val="hybridMultilevel"/>
    <w:tmpl w:val="B29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75340B"/>
    <w:multiLevelType w:val="hybridMultilevel"/>
    <w:tmpl w:val="AB742B96"/>
    <w:lvl w:ilvl="0" w:tplc="0C7E8CE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4F78C1"/>
    <w:multiLevelType w:val="hybridMultilevel"/>
    <w:tmpl w:val="C51A3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3D1008"/>
    <w:multiLevelType w:val="hybridMultilevel"/>
    <w:tmpl w:val="6F0A3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2F5CCC"/>
    <w:multiLevelType w:val="hybridMultilevel"/>
    <w:tmpl w:val="77A0AB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742247"/>
    <w:multiLevelType w:val="hybridMultilevel"/>
    <w:tmpl w:val="51326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401746"/>
    <w:multiLevelType w:val="hybridMultilevel"/>
    <w:tmpl w:val="3984E98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4ECB088A"/>
    <w:multiLevelType w:val="hybridMultilevel"/>
    <w:tmpl w:val="72546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00094D"/>
    <w:multiLevelType w:val="hybridMultilevel"/>
    <w:tmpl w:val="E6D2C5FA"/>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9">
    <w:nsid w:val="56F70B42"/>
    <w:multiLevelType w:val="hybridMultilevel"/>
    <w:tmpl w:val="657C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713985"/>
    <w:multiLevelType w:val="hybridMultilevel"/>
    <w:tmpl w:val="E6B65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526EEB"/>
    <w:multiLevelType w:val="hybridMultilevel"/>
    <w:tmpl w:val="EECC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0F0FE4"/>
    <w:multiLevelType w:val="hybridMultilevel"/>
    <w:tmpl w:val="BD7A974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nsid w:val="6F3D59CD"/>
    <w:multiLevelType w:val="hybridMultilevel"/>
    <w:tmpl w:val="BB32F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0"/>
  </w:num>
  <w:num w:numId="5">
    <w:abstractNumId w:val="0"/>
  </w:num>
  <w:num w:numId="6">
    <w:abstractNumId w:val="11"/>
  </w:num>
  <w:num w:numId="7">
    <w:abstractNumId w:val="8"/>
  </w:num>
  <w:num w:numId="8">
    <w:abstractNumId w:val="6"/>
  </w:num>
  <w:num w:numId="9">
    <w:abstractNumId w:val="12"/>
  </w:num>
  <w:num w:numId="10">
    <w:abstractNumId w:val="1"/>
  </w:num>
  <w:num w:numId="11">
    <w:abstractNumId w:val="4"/>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F"/>
    <w:rsid w:val="000259D6"/>
    <w:rsid w:val="00046B05"/>
    <w:rsid w:val="00076459"/>
    <w:rsid w:val="000A6908"/>
    <w:rsid w:val="000B24F0"/>
    <w:rsid w:val="00126C62"/>
    <w:rsid w:val="00180B41"/>
    <w:rsid w:val="001C1ECA"/>
    <w:rsid w:val="001D0C2B"/>
    <w:rsid w:val="00202B97"/>
    <w:rsid w:val="00272345"/>
    <w:rsid w:val="002A4A4E"/>
    <w:rsid w:val="002D150C"/>
    <w:rsid w:val="002E6D5F"/>
    <w:rsid w:val="00301C1C"/>
    <w:rsid w:val="003046FA"/>
    <w:rsid w:val="00360B05"/>
    <w:rsid w:val="003C702E"/>
    <w:rsid w:val="003D749F"/>
    <w:rsid w:val="003F70D5"/>
    <w:rsid w:val="00402EE3"/>
    <w:rsid w:val="00415832"/>
    <w:rsid w:val="00442588"/>
    <w:rsid w:val="0046515B"/>
    <w:rsid w:val="00494711"/>
    <w:rsid w:val="004A4960"/>
    <w:rsid w:val="004B5DB3"/>
    <w:rsid w:val="004D1159"/>
    <w:rsid w:val="004D219C"/>
    <w:rsid w:val="00520D19"/>
    <w:rsid w:val="0055798B"/>
    <w:rsid w:val="00575E2E"/>
    <w:rsid w:val="005C1391"/>
    <w:rsid w:val="005C188C"/>
    <w:rsid w:val="00600ED0"/>
    <w:rsid w:val="006254B7"/>
    <w:rsid w:val="00644E2C"/>
    <w:rsid w:val="00695593"/>
    <w:rsid w:val="00695FC3"/>
    <w:rsid w:val="007101B0"/>
    <w:rsid w:val="00710C8E"/>
    <w:rsid w:val="0075356D"/>
    <w:rsid w:val="007930F5"/>
    <w:rsid w:val="00802B0F"/>
    <w:rsid w:val="00804649"/>
    <w:rsid w:val="008110F4"/>
    <w:rsid w:val="008246D3"/>
    <w:rsid w:val="00856AE1"/>
    <w:rsid w:val="00864669"/>
    <w:rsid w:val="008746FA"/>
    <w:rsid w:val="008E35DE"/>
    <w:rsid w:val="00900300"/>
    <w:rsid w:val="00914C83"/>
    <w:rsid w:val="00941FEA"/>
    <w:rsid w:val="009C3FFC"/>
    <w:rsid w:val="009E612E"/>
    <w:rsid w:val="00A0693F"/>
    <w:rsid w:val="00A118F8"/>
    <w:rsid w:val="00A11DFE"/>
    <w:rsid w:val="00A26185"/>
    <w:rsid w:val="00AD3FFC"/>
    <w:rsid w:val="00AE2422"/>
    <w:rsid w:val="00AE503E"/>
    <w:rsid w:val="00AF714E"/>
    <w:rsid w:val="00AF7C2C"/>
    <w:rsid w:val="00B46074"/>
    <w:rsid w:val="00B60B69"/>
    <w:rsid w:val="00B63ABE"/>
    <w:rsid w:val="00BC05E8"/>
    <w:rsid w:val="00BE7ED7"/>
    <w:rsid w:val="00C200E1"/>
    <w:rsid w:val="00C9636F"/>
    <w:rsid w:val="00CD617D"/>
    <w:rsid w:val="00CF4B55"/>
    <w:rsid w:val="00D116E8"/>
    <w:rsid w:val="00D15188"/>
    <w:rsid w:val="00D62429"/>
    <w:rsid w:val="00D95470"/>
    <w:rsid w:val="00DE021D"/>
    <w:rsid w:val="00DE3D31"/>
    <w:rsid w:val="00E37FBF"/>
    <w:rsid w:val="00E5774A"/>
    <w:rsid w:val="00EC3CC9"/>
    <w:rsid w:val="00ED7A55"/>
    <w:rsid w:val="00F119B9"/>
    <w:rsid w:val="00FA0799"/>
    <w:rsid w:val="00FA1C99"/>
    <w:rsid w:val="00FC3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yperlink" Target="https://europa.eu/youreurope/business/product-requirements/compliance/index_it.htm?pk_campaign=SDG&amp;pk_kwd=launch&amp;pk_source=sea&amp;pk_medium=search&amp;pk_content=complianc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8</Pages>
  <Words>2220</Words>
  <Characters>12659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Pampaloni</dc:creator>
  <cp:lastModifiedBy>Lorenzo Pampaloni</cp:lastModifiedBy>
  <cp:revision>17</cp:revision>
  <dcterms:created xsi:type="dcterms:W3CDTF">2021-08-26T10:34:00Z</dcterms:created>
  <dcterms:modified xsi:type="dcterms:W3CDTF">2022-05-26T06:59:00Z</dcterms:modified>
</cp:coreProperties>
</file>