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8D3C75" w:rsidP="009105A1">
            <w:pPr>
              <w:jc w:val="both"/>
            </w:pPr>
            <w:r>
              <w:t>Apparecchi per l’igiene orale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F97AC9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1BA710DC" wp14:editId="733E8F2D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108676</wp:posOffset>
                  </wp:positionV>
                  <wp:extent cx="1127125" cy="2737485"/>
                  <wp:effectExtent l="0" t="0" r="0" b="571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273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6936C0B1" wp14:editId="748B3617">
                  <wp:simplePos x="0" y="0"/>
                  <wp:positionH relativeFrom="column">
                    <wp:posOffset>5123180</wp:posOffset>
                  </wp:positionH>
                  <wp:positionV relativeFrom="paragraph">
                    <wp:posOffset>104140</wp:posOffset>
                  </wp:positionV>
                  <wp:extent cx="1649095" cy="2905125"/>
                  <wp:effectExtent l="0" t="0" r="8255" b="952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F97AC9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779CD406" wp14:editId="567EDE64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17145</wp:posOffset>
                  </wp:positionV>
                  <wp:extent cx="742950" cy="265049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6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D3C75" w:rsidP="0078413D">
            <w:pPr>
              <w:jc w:val="both"/>
            </w:pPr>
            <w:r>
              <w:t>A</w:t>
            </w:r>
            <w:r w:rsidRPr="008D3C75">
              <w:t>pparecchi per l’igiene orale per uso domestico e similare, la cui tensione nominale non sia superiore a 250 V</w:t>
            </w:r>
            <w:r>
              <w:t>. Ne sono esempi (non esaustivi): spazzolini elettrici e idropulsori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 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F34CCD" w:rsidRDefault="00F34CCD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>i.</w:t>
            </w:r>
            <w:r w:rsidR="0078413D">
              <w:t xml:space="preserve">. </w:t>
            </w:r>
            <w:r w:rsidR="00784AC8">
              <w:t xml:space="preserve">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0C6C2DFC" wp14:editId="2D2CE41B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E37A532" wp14:editId="27C92A49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della potenza </w:t>
            </w:r>
            <w:r w:rsidR="00CD7DDE">
              <w:t>nominale</w:t>
            </w:r>
            <w:r>
              <w:t xml:space="preserve"> assorbita, espressa in watt (W)</w:t>
            </w:r>
            <w:r w:rsidR="003E6B76">
              <w:t xml:space="preserve"> o della corrente </w:t>
            </w:r>
            <w:r w:rsidR="00CD7DDE">
              <w:t>nominale</w:t>
            </w:r>
            <w:r w:rsidR="003E6B76">
              <w:t xml:space="preserve"> assorbita, espressa in ampere (A);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6B67F20E" wp14:editId="0DBE047E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4DBEFD8F" wp14:editId="33124219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</w:t>
            </w:r>
            <w:r w:rsidR="008D3C75">
              <w:t xml:space="preserve">  </w:t>
            </w:r>
            <w:r>
              <w:t xml:space="preserve">         )</w:t>
            </w:r>
            <w:r w:rsidR="004F37D9">
              <w:t xml:space="preserve"> ove l’alimentazione provenga da un sistema a bassissima tensione di sicurezza (tensione inferiore a 42 V tra i conduttori o tra i conduttori e la terra)</w:t>
            </w:r>
            <w:r w:rsidR="00B75B1D">
              <w:t>, non sono ammessi apparecchi in classe I</w:t>
            </w:r>
            <w:r w:rsidR="007E68B4">
              <w:t>;</w:t>
            </w:r>
          </w:p>
          <w:p w:rsidR="003E6B76" w:rsidRDefault="00BA2B2C" w:rsidP="00BA2B2C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Gli apparecchi di classe II devono indicare una classe di protezione almeno IPX7, eccetto quelle parti destinate a </w:t>
            </w:r>
            <w:r w:rsidRPr="00BA2B2C">
              <w:t>essere fissate e i trasformatori con spinotti da introdurre nelle prese di alimentazione</w:t>
            </w:r>
            <w:r w:rsidR="004F37D9">
              <w:t>, che</w:t>
            </w:r>
            <w:r w:rsidRPr="00BA2B2C">
              <w:t xml:space="preserve"> devono es</w:t>
            </w:r>
            <w:r>
              <w:t xml:space="preserve">sere almeno IPX4.Gli apparecchi di classe III devono essere almeno IPX4. Tuttavia, se la tensione nominale </w:t>
            </w:r>
            <w:r w:rsidRPr="00BA2B2C">
              <w:t>non supera i 24 V, possono essere IPX0.</w:t>
            </w:r>
          </w:p>
          <w:p w:rsidR="00331F6C" w:rsidRDefault="00331F6C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F34CCD" w:rsidRDefault="00F34CCD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AC6EDC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>L’apparecchio può essere utilizzato da bambini di età non infer</w:t>
            </w:r>
            <w:r w:rsidR="00624ECA">
              <w:t xml:space="preserve">iore a 8 anni e da persone con ridotte capacità fisiche, </w:t>
            </w:r>
            <w:r w:rsidRPr="00AC6EDC">
              <w:t>sensoriali</w:t>
            </w:r>
            <w:r w:rsidR="00624ECA">
              <w:t xml:space="preserve"> o </w:t>
            </w:r>
            <w:r w:rsidRPr="00AC6EDC">
              <w:t>m</w:t>
            </w:r>
            <w:r w:rsidR="00624ECA">
              <w:t>entali, o prive di esperienza o della</w:t>
            </w:r>
            <w:r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Pr="00AC6EDC">
              <w:t xml:space="preserve">sicuro </w:t>
            </w:r>
            <w:r w:rsidR="00624ECA">
              <w:t>dell’apparecchio e alla comprensione dei p</w:t>
            </w:r>
            <w:r w:rsidRPr="00AC6EDC">
              <w:t xml:space="preserve">ericoli </w:t>
            </w:r>
            <w:r w:rsidR="00624ECA">
              <w:t>ad e</w:t>
            </w:r>
            <w:r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Pr="00AC6EDC">
              <w:t>essere effettuata dall’utilizzatore non deve essere effettuata da bambini senza sorveglianza.</w:t>
            </w:r>
          </w:p>
          <w:p w:rsidR="00F34CCD" w:rsidRDefault="00AC6EDC" w:rsidP="00F34CC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 xml:space="preserve">Le istruzioni relative ad apparecchi </w:t>
            </w:r>
            <w:r w:rsidR="00624ECA">
              <w:t>alimentati</w:t>
            </w:r>
            <w:r w:rsidRPr="00AC6EDC">
              <w:t xml:space="preserve"> da un’unità di alimentazione separata devono dichiarare che l’apparecchio è da utilizzare solo con l’unità di alimentazione fornita con l’apparecchio.</w:t>
            </w:r>
          </w:p>
          <w:p w:rsidR="00F34CCD" w:rsidRDefault="00F34CCD" w:rsidP="00F34CC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F34CCD">
              <w:t>Le istruzioni per l’installazione devono indicare che le parti che vanno fissate devono esserlo in modo da non poter cadere nell’acqua, a meno che non siano IPX7</w:t>
            </w:r>
            <w:r>
              <w:t>.</w:t>
            </w:r>
          </w:p>
          <w:p w:rsidR="00FB48E2" w:rsidRPr="00F34CCD" w:rsidRDefault="00FB48E2" w:rsidP="00F34CC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Indicazioni relative all’eventuale danneggiamento del cavo di alimentazione, con soluzioni tra loro alternative sulla base della natura dell’apparecchio:</w:t>
            </w:r>
          </w:p>
          <w:p w:rsidR="006B5728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facilmente sostituibile l’indicazione è del tipo: “</w:t>
            </w:r>
            <w:r w:rsidRPr="00FB48E2">
              <w:rPr>
                <w:i/>
              </w:rPr>
              <w:t>il cavo danneggiato</w:t>
            </w:r>
            <w:r w:rsidR="006B5728" w:rsidRPr="00FB48E2">
              <w:rPr>
                <w:i/>
              </w:rPr>
              <w:t xml:space="preserve"> deve essere sostituito con un apposito cavo</w:t>
            </w:r>
            <w:r w:rsidRPr="00FB48E2">
              <w:rPr>
                <w:i/>
              </w:rPr>
              <w:t xml:space="preserve"> disponibile presso il costruttore o un centro assistenza</w:t>
            </w:r>
            <w:r>
              <w:t xml:space="preserve"> </w:t>
            </w:r>
            <w:r w:rsidRPr="00FB48E2">
              <w:rPr>
                <w:i/>
              </w:rPr>
              <w:t>dello stesso</w:t>
            </w:r>
            <w:r>
              <w:t>”</w:t>
            </w:r>
          </w:p>
          <w:p w:rsidR="00FB48E2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sostituibile solo mediante smontaggio dell’apparecchio l’indicazione è del tipo: “</w:t>
            </w:r>
            <w:r w:rsidRPr="001B710B">
              <w:rPr>
                <w:i/>
              </w:rPr>
              <w:t xml:space="preserve">il cavo danneggiato deve essere sostituito dal costruttore o da </w:t>
            </w:r>
            <w:r w:rsidR="001B710B" w:rsidRPr="001B710B">
              <w:rPr>
                <w:i/>
              </w:rPr>
              <w:t>suo servizio di</w:t>
            </w:r>
            <w:r w:rsidRPr="001B710B">
              <w:rPr>
                <w:i/>
              </w:rPr>
              <w:t xml:space="preserve"> assistenza</w:t>
            </w:r>
            <w:r w:rsidR="001B710B" w:rsidRPr="001B710B">
              <w:rPr>
                <w:i/>
              </w:rPr>
              <w:t xml:space="preserve"> o da persona con qualifica similare</w:t>
            </w:r>
            <w:r w:rsidR="001B710B">
              <w:t>”</w:t>
            </w:r>
          </w:p>
          <w:p w:rsidR="00B7640C" w:rsidRDefault="001B710B" w:rsidP="00E0368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non è sostituibile senza danneggiare o distruggere l’apparecchio l’indicazione è del tipo: “</w:t>
            </w:r>
            <w:r w:rsidRPr="001B710B">
              <w:rPr>
                <w:i/>
              </w:rPr>
              <w:t>se il cavo è danneggiato l’apparecchio deve essere rottamato</w:t>
            </w:r>
            <w:r>
              <w:t>”</w:t>
            </w:r>
          </w:p>
          <w:p w:rsidR="00F34CCD" w:rsidRPr="007E68B4" w:rsidRDefault="00F34CCD" w:rsidP="00F34CCD">
            <w:pPr>
              <w:pStyle w:val="Paragrafoelenco"/>
              <w:shd w:val="clear" w:color="auto" w:fill="FFFFFF"/>
              <w:ind w:left="1440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3440A9" w:rsidRDefault="003440A9" w:rsidP="00B60B69">
            <w:pPr>
              <w:spacing w:after="60"/>
              <w:jc w:val="both"/>
              <w:rPr>
                <w:u w:val="single"/>
              </w:rPr>
            </w:pPr>
          </w:p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</w:t>
            </w:r>
            <w:r w:rsidR="00AF7C2C">
              <w:lastRenderedPageBreak/>
              <w:t>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B75B1D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28867663" wp14:editId="49787EAB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7620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B75B1D" w:rsidRDefault="00B75B1D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2F0BFA" w:rsidRDefault="00802B0F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437FF9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422BF1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2F0BFA">
              <w:rPr>
                <w:b/>
              </w:rPr>
              <w:t>EN 60335-2-</w:t>
            </w:r>
            <w:r w:rsidR="00B75B1D">
              <w:rPr>
                <w:b/>
              </w:rPr>
              <w:t>52</w:t>
            </w:r>
            <w:r w:rsidRPr="002F0BFA">
              <w:rPr>
                <w:b/>
              </w:rPr>
              <w:t xml:space="preserve">: </w:t>
            </w:r>
            <w:r w:rsidRPr="002F0BFA">
              <w:t>“</w:t>
            </w:r>
            <w:r w:rsidRPr="002F0BFA">
              <w:rPr>
                <w:i/>
              </w:rPr>
              <w:t>Sicurezza degli apparecchi elettrici d'uso domestico e sim</w:t>
            </w:r>
            <w:r w:rsidR="00DC16FB">
              <w:rPr>
                <w:i/>
              </w:rPr>
              <w:t xml:space="preserve">ilare Parte </w:t>
            </w:r>
            <w:r w:rsidR="00437FF9">
              <w:rPr>
                <w:i/>
              </w:rPr>
              <w:t xml:space="preserve">2: Norme particolari </w:t>
            </w:r>
            <w:r w:rsidR="002F0BFA" w:rsidRPr="002F0BFA">
              <w:rPr>
                <w:i/>
              </w:rPr>
              <w:t>per</w:t>
            </w:r>
            <w:r w:rsidR="00437FF9">
              <w:rPr>
                <w:i/>
              </w:rPr>
              <w:t xml:space="preserve"> </w:t>
            </w:r>
            <w:r w:rsidR="00B75B1D">
              <w:rPr>
                <w:i/>
              </w:rPr>
              <w:t>apparecchi per l’igiene orale</w:t>
            </w:r>
            <w:r w:rsidR="00437FF9">
              <w:rPr>
                <w:i/>
              </w:rPr>
              <w:t>”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lastRenderedPageBreak/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381C85" w:rsidP="00CF4B55">
            <w:pPr>
              <w:ind w:left="35"/>
              <w:jc w:val="both"/>
              <w:rPr>
                <w:b/>
              </w:rPr>
            </w:pPr>
            <w:hyperlink r:id="rId16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381C85" w:rsidRDefault="00381C85" w:rsidP="00381C85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3D601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E6D6E"/>
    <w:rsid w:val="00126C62"/>
    <w:rsid w:val="00180B41"/>
    <w:rsid w:val="001B710B"/>
    <w:rsid w:val="001C1ECA"/>
    <w:rsid w:val="001D0C2B"/>
    <w:rsid w:val="001E733C"/>
    <w:rsid w:val="001F690D"/>
    <w:rsid w:val="00202B97"/>
    <w:rsid w:val="00236C55"/>
    <w:rsid w:val="002439B3"/>
    <w:rsid w:val="00272345"/>
    <w:rsid w:val="002A4A4E"/>
    <w:rsid w:val="002B2230"/>
    <w:rsid w:val="002B31F8"/>
    <w:rsid w:val="002D150C"/>
    <w:rsid w:val="002E6D5F"/>
    <w:rsid w:val="002F0BFA"/>
    <w:rsid w:val="00301C1C"/>
    <w:rsid w:val="003046FA"/>
    <w:rsid w:val="00331F6C"/>
    <w:rsid w:val="003440A9"/>
    <w:rsid w:val="00360B05"/>
    <w:rsid w:val="00381C85"/>
    <w:rsid w:val="003B2D35"/>
    <w:rsid w:val="003C6011"/>
    <w:rsid w:val="003C702E"/>
    <w:rsid w:val="003D749F"/>
    <w:rsid w:val="003E6B76"/>
    <w:rsid w:val="003F2ED1"/>
    <w:rsid w:val="003F70D5"/>
    <w:rsid w:val="00402EE3"/>
    <w:rsid w:val="00417962"/>
    <w:rsid w:val="00422BF1"/>
    <w:rsid w:val="00437FF9"/>
    <w:rsid w:val="00442588"/>
    <w:rsid w:val="0046515B"/>
    <w:rsid w:val="00494711"/>
    <w:rsid w:val="004A4960"/>
    <w:rsid w:val="004B5DB3"/>
    <w:rsid w:val="004D1159"/>
    <w:rsid w:val="004D219C"/>
    <w:rsid w:val="004F37D9"/>
    <w:rsid w:val="00520D19"/>
    <w:rsid w:val="0055798B"/>
    <w:rsid w:val="00575E2E"/>
    <w:rsid w:val="00585A94"/>
    <w:rsid w:val="005C1391"/>
    <w:rsid w:val="005E0D12"/>
    <w:rsid w:val="00600ED0"/>
    <w:rsid w:val="00624ECA"/>
    <w:rsid w:val="006254B7"/>
    <w:rsid w:val="00644E2C"/>
    <w:rsid w:val="00695593"/>
    <w:rsid w:val="00695FC3"/>
    <w:rsid w:val="006B5728"/>
    <w:rsid w:val="007101B0"/>
    <w:rsid w:val="00710C8E"/>
    <w:rsid w:val="00743F9A"/>
    <w:rsid w:val="0075356D"/>
    <w:rsid w:val="00770DFD"/>
    <w:rsid w:val="0078413D"/>
    <w:rsid w:val="00784AC8"/>
    <w:rsid w:val="007930F5"/>
    <w:rsid w:val="007C38CA"/>
    <w:rsid w:val="007D2794"/>
    <w:rsid w:val="007E68B4"/>
    <w:rsid w:val="00802B0F"/>
    <w:rsid w:val="00804649"/>
    <w:rsid w:val="008110F4"/>
    <w:rsid w:val="008246D3"/>
    <w:rsid w:val="00856AE1"/>
    <w:rsid w:val="00861139"/>
    <w:rsid w:val="00864669"/>
    <w:rsid w:val="008746FA"/>
    <w:rsid w:val="008D3C75"/>
    <w:rsid w:val="008E35DE"/>
    <w:rsid w:val="00900300"/>
    <w:rsid w:val="00903CC0"/>
    <w:rsid w:val="009070D3"/>
    <w:rsid w:val="009105A1"/>
    <w:rsid w:val="00914C83"/>
    <w:rsid w:val="00941FEA"/>
    <w:rsid w:val="009C3FFC"/>
    <w:rsid w:val="009E3DB2"/>
    <w:rsid w:val="009E612E"/>
    <w:rsid w:val="00A0693F"/>
    <w:rsid w:val="00A118F8"/>
    <w:rsid w:val="00A11DFE"/>
    <w:rsid w:val="00A26185"/>
    <w:rsid w:val="00AC6EDC"/>
    <w:rsid w:val="00AD3FFC"/>
    <w:rsid w:val="00AE2422"/>
    <w:rsid w:val="00AE503E"/>
    <w:rsid w:val="00AF714E"/>
    <w:rsid w:val="00AF7C2C"/>
    <w:rsid w:val="00B11521"/>
    <w:rsid w:val="00B26C33"/>
    <w:rsid w:val="00B42ED4"/>
    <w:rsid w:val="00B46074"/>
    <w:rsid w:val="00B60B69"/>
    <w:rsid w:val="00B63ABE"/>
    <w:rsid w:val="00B75B1D"/>
    <w:rsid w:val="00B7640C"/>
    <w:rsid w:val="00B94155"/>
    <w:rsid w:val="00BA2B2C"/>
    <w:rsid w:val="00BB1C7B"/>
    <w:rsid w:val="00BC05E8"/>
    <w:rsid w:val="00BE7ED7"/>
    <w:rsid w:val="00C1446B"/>
    <w:rsid w:val="00C200E1"/>
    <w:rsid w:val="00C43E63"/>
    <w:rsid w:val="00C67871"/>
    <w:rsid w:val="00C9636F"/>
    <w:rsid w:val="00CD7DDE"/>
    <w:rsid w:val="00CF4B55"/>
    <w:rsid w:val="00D116E8"/>
    <w:rsid w:val="00D15188"/>
    <w:rsid w:val="00D31113"/>
    <w:rsid w:val="00D62429"/>
    <w:rsid w:val="00D814BC"/>
    <w:rsid w:val="00D95470"/>
    <w:rsid w:val="00DA1270"/>
    <w:rsid w:val="00DC16FB"/>
    <w:rsid w:val="00DD287B"/>
    <w:rsid w:val="00DD6DA5"/>
    <w:rsid w:val="00DE021D"/>
    <w:rsid w:val="00DE26D6"/>
    <w:rsid w:val="00DE3D31"/>
    <w:rsid w:val="00E03682"/>
    <w:rsid w:val="00E20092"/>
    <w:rsid w:val="00E27451"/>
    <w:rsid w:val="00E37FBF"/>
    <w:rsid w:val="00E5774A"/>
    <w:rsid w:val="00E821A1"/>
    <w:rsid w:val="00EC3CC9"/>
    <w:rsid w:val="00ED6C3D"/>
    <w:rsid w:val="00F119B9"/>
    <w:rsid w:val="00F332AD"/>
    <w:rsid w:val="00F34CCD"/>
    <w:rsid w:val="00F552BD"/>
    <w:rsid w:val="00F8264D"/>
    <w:rsid w:val="00F97AC9"/>
    <w:rsid w:val="00FA0799"/>
    <w:rsid w:val="00FA1C99"/>
    <w:rsid w:val="00FB48E2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4</cp:revision>
  <dcterms:created xsi:type="dcterms:W3CDTF">2022-03-16T13:22:00Z</dcterms:created>
  <dcterms:modified xsi:type="dcterms:W3CDTF">2022-05-26T07:05:00Z</dcterms:modified>
</cp:coreProperties>
</file>