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D43FC" w:rsidRDefault="00370B37">
      <w:pPr>
        <w:spacing w:line="240" w:lineRule="auto"/>
        <w:rPr>
          <w:rFonts w:ascii="Roboto" w:eastAsia="Roboto" w:hAnsi="Roboto" w:cs="Roboto"/>
          <w:b/>
          <w:sz w:val="48"/>
          <w:szCs w:val="48"/>
        </w:rPr>
      </w:pPr>
      <w:r>
        <w:rPr>
          <w:rFonts w:ascii="Roboto" w:eastAsia="Roboto" w:hAnsi="Roboto" w:cs="Roboto"/>
          <w:b/>
          <w:sz w:val="48"/>
          <w:szCs w:val="48"/>
        </w:rPr>
        <w:t xml:space="preserve">Pagine verificate con il </w:t>
      </w:r>
      <w:proofErr w:type="spellStart"/>
      <w:r>
        <w:rPr>
          <w:rFonts w:ascii="Roboto" w:eastAsia="Roboto" w:hAnsi="Roboto" w:cs="Roboto"/>
          <w:b/>
          <w:sz w:val="48"/>
          <w:szCs w:val="48"/>
        </w:rPr>
        <w:t>validatore</w:t>
      </w:r>
      <w:proofErr w:type="spellEnd"/>
      <w:r>
        <w:rPr>
          <w:rFonts w:ascii="Roboto" w:eastAsia="Roboto" w:hAnsi="Roboto" w:cs="Roboto"/>
          <w:b/>
          <w:sz w:val="48"/>
          <w:szCs w:val="48"/>
        </w:rPr>
        <w:t xml:space="preserve"> MAUVE++ consigliato da </w:t>
      </w:r>
      <w:proofErr w:type="spellStart"/>
      <w:r>
        <w:rPr>
          <w:rFonts w:ascii="Roboto" w:eastAsia="Roboto" w:hAnsi="Roboto" w:cs="Roboto"/>
          <w:b/>
          <w:sz w:val="48"/>
          <w:szCs w:val="48"/>
        </w:rPr>
        <w:t>Agid</w:t>
      </w:r>
      <w:proofErr w:type="spellEnd"/>
      <w:r>
        <w:rPr>
          <w:rFonts w:ascii="Roboto" w:eastAsia="Roboto" w:hAnsi="Roboto" w:cs="Roboto"/>
          <w:b/>
          <w:sz w:val="48"/>
          <w:szCs w:val="48"/>
        </w:rPr>
        <w:t xml:space="preserve"> </w:t>
      </w:r>
      <w:r>
        <w:rPr>
          <w:rFonts w:ascii="Roboto" w:eastAsia="Roboto" w:hAnsi="Roboto" w:cs="Roboto"/>
          <w:b/>
          <w:sz w:val="28"/>
          <w:szCs w:val="28"/>
        </w:rPr>
        <w:t>(</w:t>
      </w:r>
      <w:hyperlink r:id="rId4">
        <w:r>
          <w:rPr>
            <w:rFonts w:ascii="Roboto" w:eastAsia="Roboto" w:hAnsi="Roboto" w:cs="Roboto"/>
            <w:b/>
            <w:color w:val="0563C1"/>
            <w:sz w:val="28"/>
            <w:szCs w:val="28"/>
            <w:u w:val="single"/>
          </w:rPr>
          <w:t>https://www.agid.gov.it/en/node/102952</w:t>
        </w:r>
      </w:hyperlink>
      <w:r>
        <w:rPr>
          <w:rFonts w:ascii="Roboto" w:eastAsia="Roboto" w:hAnsi="Roboto" w:cs="Roboto"/>
          <w:b/>
          <w:sz w:val="48"/>
          <w:szCs w:val="48"/>
        </w:rPr>
        <w:t>)</w:t>
      </w:r>
    </w:p>
    <w:p w14:paraId="00000002" w14:textId="77777777" w:rsidR="006D43FC" w:rsidRDefault="006D43FC">
      <w:pPr>
        <w:spacing w:line="240" w:lineRule="auto"/>
        <w:rPr>
          <w:rFonts w:ascii="Roboto" w:eastAsia="Roboto" w:hAnsi="Roboto" w:cs="Roboto"/>
          <w:b/>
          <w:sz w:val="48"/>
          <w:szCs w:val="48"/>
        </w:rPr>
      </w:pPr>
    </w:p>
    <w:p w14:paraId="00000003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5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</w:t>
        </w:r>
      </w:hyperlink>
    </w:p>
    <w:p w14:paraId="00000004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6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https://www.fi.camcom.gov.it/accedi</w:t>
        </w:r>
      </w:hyperlink>
    </w:p>
    <w:p w14:paraId="00000005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7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https://www.fi.camcom.gov.it/quesiti-e-richiesta-di-informazioni</w:t>
        </w:r>
      </w:hyperlink>
    </w:p>
    <w:p w14:paraId="00000006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8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https://www.fi.camcom.gov.it/promozione-e-assistenza-alle-imprese</w:t>
        </w:r>
      </w:hyperlink>
    </w:p>
    <w:p w14:paraId="00000007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9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https://www.fi.camcom.gov.it/elencomodulistica</w:t>
        </w:r>
      </w:hyperlink>
    </w:p>
    <w:p w14:paraId="00000008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10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https://www.fi.camcom.gov.it/sei-unimpresa</w:t>
        </w:r>
      </w:hyperlink>
    </w:p>
    <w:p w14:paraId="00000009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  <w:hyperlink r:id="rId11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https://www.fi.ca</w:t>
        </w:r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mcom.gov.it/tutto-ci%C3%B2-che-c%E2%80%99%C3%A8-da-sapere-sulla-categoria-2-bis-dellalbo-gestori-ambientali</w:t>
        </w:r>
      </w:hyperlink>
    </w:p>
    <w:p w14:paraId="0000000A" w14:textId="77777777" w:rsidR="006D43FC" w:rsidRDefault="006D43FC">
      <w:pPr>
        <w:spacing w:line="240" w:lineRule="auto"/>
        <w:rPr>
          <w:rFonts w:ascii="Roboto" w:eastAsia="Roboto" w:hAnsi="Roboto" w:cs="Roboto"/>
          <w:color w:val="212529"/>
          <w:sz w:val="24"/>
          <w:szCs w:val="24"/>
        </w:rPr>
      </w:pPr>
    </w:p>
    <w:p w14:paraId="0000000B" w14:textId="77777777" w:rsidR="006D43FC" w:rsidRDefault="00370B37">
      <w:pPr>
        <w:spacing w:line="240" w:lineRule="auto"/>
        <w:rPr>
          <w:rFonts w:ascii="Roboto" w:eastAsia="Roboto" w:hAnsi="Roboto" w:cs="Roboto"/>
          <w:color w:val="212529"/>
          <w:sz w:val="24"/>
          <w:szCs w:val="24"/>
          <w:highlight w:val="white"/>
        </w:rPr>
      </w:pPr>
      <w:r>
        <w:br w:type="page"/>
      </w:r>
    </w:p>
    <w:p w14:paraId="0000000C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48"/>
          <w:szCs w:val="48"/>
        </w:rPr>
      </w:pPr>
      <w:r>
        <w:rPr>
          <w:rFonts w:ascii="Titillium" w:eastAsia="Titillium" w:hAnsi="Titillium" w:cs="Titillium"/>
          <w:b/>
          <w:sz w:val="48"/>
          <w:szCs w:val="48"/>
        </w:rPr>
        <w:lastRenderedPageBreak/>
        <w:t>Sito istituzionale Camera di Commercio di Firenze</w:t>
      </w:r>
    </w:p>
    <w:p w14:paraId="0000000D" w14:textId="77777777" w:rsidR="006D43FC" w:rsidRDefault="00370B37">
      <w:pPr>
        <w:spacing w:line="240" w:lineRule="auto"/>
        <w:rPr>
          <w:rFonts w:ascii="Titillium" w:eastAsia="Titillium" w:hAnsi="Titillium" w:cs="Titillium"/>
          <w:sz w:val="28"/>
          <w:szCs w:val="28"/>
        </w:rPr>
      </w:pPr>
      <w:proofErr w:type="gramStart"/>
      <w:r>
        <w:rPr>
          <w:rFonts w:ascii="Titillium" w:eastAsia="Titillium" w:hAnsi="Titillium" w:cs="Titillium"/>
          <w:sz w:val="28"/>
          <w:szCs w:val="28"/>
        </w:rPr>
        <w:t>redatta</w:t>
      </w:r>
      <w:proofErr w:type="gramEnd"/>
      <w:r>
        <w:rPr>
          <w:rFonts w:ascii="Titillium" w:eastAsia="Titillium" w:hAnsi="Titillium" w:cs="Titillium"/>
          <w:sz w:val="28"/>
          <w:szCs w:val="28"/>
        </w:rPr>
        <w:t xml:space="preserve"> il 13.11.2023</w:t>
      </w:r>
    </w:p>
    <w:p w14:paraId="0000000E" w14:textId="77777777" w:rsidR="006D43FC" w:rsidRDefault="006D43FC">
      <w:pPr>
        <w:spacing w:line="240" w:lineRule="auto"/>
        <w:rPr>
          <w:rFonts w:ascii="Titillium" w:eastAsia="Titillium" w:hAnsi="Titillium" w:cs="Titillium"/>
          <w:sz w:val="28"/>
          <w:szCs w:val="28"/>
        </w:rPr>
      </w:pPr>
    </w:p>
    <w:p w14:paraId="0000000F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36"/>
          <w:szCs w:val="36"/>
        </w:rPr>
      </w:pPr>
      <w:r>
        <w:rPr>
          <w:rFonts w:ascii="Titillium" w:eastAsia="Titillium" w:hAnsi="Titillium" w:cs="Titillium"/>
          <w:b/>
          <w:sz w:val="36"/>
          <w:szCs w:val="36"/>
        </w:rPr>
        <w:t>Dichiarazione di accessibilità</w:t>
      </w:r>
    </w:p>
    <w:p w14:paraId="00000010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b/>
          <w:sz w:val="24"/>
          <w:szCs w:val="24"/>
        </w:rPr>
        <w:t xml:space="preserve">La Camera di Commercio di Firenze </w:t>
      </w:r>
      <w:r>
        <w:rPr>
          <w:rFonts w:ascii="Titillium" w:eastAsia="Titillium" w:hAnsi="Titillium" w:cs="Titillium"/>
          <w:sz w:val="24"/>
          <w:szCs w:val="24"/>
        </w:rPr>
        <w:t xml:space="preserve">si impegna a rendere </w:t>
      </w:r>
      <w:r>
        <w:rPr>
          <w:rFonts w:ascii="Titillium" w:eastAsia="Titillium" w:hAnsi="Titillium" w:cs="Titillium"/>
          <w:b/>
          <w:sz w:val="24"/>
          <w:szCs w:val="24"/>
        </w:rPr>
        <w:t xml:space="preserve">il proprio sito web </w:t>
      </w:r>
      <w:r>
        <w:rPr>
          <w:rFonts w:ascii="Titillium" w:eastAsia="Titillium" w:hAnsi="Titillium" w:cs="Titillium"/>
          <w:sz w:val="24"/>
          <w:szCs w:val="24"/>
        </w:rPr>
        <w:t xml:space="preserve">accessibile, conformemente al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D.lgs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10 agosto 2018, n. 106 che ha recepito la direttiva UE 2016/2102 del Parlamento europeo e del Consiglio. </w:t>
      </w:r>
      <w:r>
        <w:rPr>
          <w:rFonts w:ascii="Titillium" w:eastAsia="Titillium" w:hAnsi="Titillium" w:cs="Titillium"/>
          <w:sz w:val="24"/>
          <w:szCs w:val="24"/>
        </w:rPr>
        <w:br/>
      </w:r>
      <w:r>
        <w:rPr>
          <w:rFonts w:ascii="Titillium" w:eastAsia="Titillium" w:hAnsi="Titillium" w:cs="Titillium"/>
          <w:sz w:val="24"/>
          <w:szCs w:val="24"/>
        </w:rPr>
        <w:br/>
        <w:t>La presente dichiarazione di accessibilità si applica a “</w:t>
      </w:r>
      <w:r>
        <w:rPr>
          <w:rFonts w:ascii="Titillium" w:eastAsia="Titillium" w:hAnsi="Titillium" w:cs="Titillium"/>
          <w:b/>
          <w:sz w:val="24"/>
          <w:szCs w:val="24"/>
        </w:rPr>
        <w:t>Sito istituzion</w:t>
      </w:r>
      <w:r>
        <w:rPr>
          <w:rFonts w:ascii="Titillium" w:eastAsia="Titillium" w:hAnsi="Titillium" w:cs="Titillium"/>
          <w:b/>
          <w:sz w:val="24"/>
          <w:szCs w:val="24"/>
        </w:rPr>
        <w:t>ale Camera di Commercio di Firenze</w:t>
      </w:r>
      <w:r>
        <w:rPr>
          <w:rFonts w:ascii="Titillium" w:eastAsia="Titillium" w:hAnsi="Titillium" w:cs="Titillium"/>
          <w:sz w:val="24"/>
          <w:szCs w:val="24"/>
        </w:rPr>
        <w:t>”.</w:t>
      </w:r>
    </w:p>
    <w:p w14:paraId="00000011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hyperlink r:id="rId12">
        <w:r>
          <w:rPr>
            <w:rFonts w:ascii="Titillium" w:eastAsia="Titillium" w:hAnsi="Titillium" w:cs="Titillium"/>
            <w:color w:val="1155CC"/>
            <w:sz w:val="24"/>
            <w:szCs w:val="24"/>
            <w:u w:val="single"/>
          </w:rPr>
          <w:t>https://www.fi.camcom.gov.it/</w:t>
        </w:r>
      </w:hyperlink>
    </w:p>
    <w:p w14:paraId="00000012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13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36"/>
          <w:szCs w:val="36"/>
        </w:rPr>
      </w:pPr>
      <w:r>
        <w:rPr>
          <w:rFonts w:ascii="Titillium" w:eastAsia="Titillium" w:hAnsi="Titillium" w:cs="Titillium"/>
          <w:b/>
          <w:sz w:val="36"/>
          <w:szCs w:val="36"/>
        </w:rPr>
        <w:t>Sezione 1</w:t>
      </w:r>
    </w:p>
    <w:p w14:paraId="00000014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Contenuti in ottemperanza alla Decisione di esecuzione UE 2018/1523.</w:t>
      </w:r>
    </w:p>
    <w:p w14:paraId="00000015" w14:textId="77777777" w:rsidR="006D43FC" w:rsidRDefault="006D43FC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</w:p>
    <w:p w14:paraId="00000016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STATO DI CONFORMITÀ</w:t>
      </w:r>
    </w:p>
    <w:p w14:paraId="00000017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Questo </w:t>
      </w:r>
      <w:r>
        <w:rPr>
          <w:rFonts w:ascii="Titillium" w:eastAsia="Titillium" w:hAnsi="Titillium" w:cs="Titillium"/>
          <w:b/>
          <w:sz w:val="24"/>
          <w:szCs w:val="24"/>
        </w:rPr>
        <w:t>sito web</w:t>
      </w:r>
      <w:r>
        <w:rPr>
          <w:rFonts w:ascii="Titillium" w:eastAsia="Titillium" w:hAnsi="Titillium" w:cs="Titillium"/>
          <w:sz w:val="24"/>
          <w:szCs w:val="24"/>
        </w:rPr>
        <w:t xml:space="preserve"> è </w:t>
      </w:r>
      <w:r>
        <w:rPr>
          <w:rFonts w:ascii="Titillium" w:eastAsia="Titillium" w:hAnsi="Titillium" w:cs="Titillium"/>
          <w:b/>
          <w:sz w:val="24"/>
          <w:szCs w:val="24"/>
        </w:rPr>
        <w:t>parzialmente conforme ai requisiti previsti dall’allegato A alla norma UNI EN 301549:2018 (WCAG 2.1) in ragione dei casi di non conformità e/o delle deroghe elencate di seguito.</w:t>
      </w:r>
    </w:p>
    <w:p w14:paraId="00000018" w14:textId="77777777" w:rsidR="006D43FC" w:rsidRDefault="006D43FC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</w:p>
    <w:p w14:paraId="00000019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CONTENUTI NON ACCESSIBILI</w:t>
      </w:r>
    </w:p>
    <w:p w14:paraId="0000001A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I contenuti di seguito elencati non sono accessibil</w:t>
      </w:r>
      <w:r>
        <w:rPr>
          <w:rFonts w:ascii="Titillium" w:eastAsia="Titillium" w:hAnsi="Titillium" w:cs="Titillium"/>
          <w:sz w:val="24"/>
          <w:szCs w:val="24"/>
        </w:rPr>
        <w:t xml:space="preserve">i per i seguenti motivi raggruppati per Principi WCAG: </w:t>
      </w:r>
    </w:p>
    <w:p w14:paraId="0000001B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proofErr w:type="gramStart"/>
      <w:r>
        <w:rPr>
          <w:rFonts w:ascii="Titillium" w:eastAsia="Titillium" w:hAnsi="Titillium" w:cs="Titillium"/>
          <w:b/>
          <w:sz w:val="27"/>
          <w:szCs w:val="27"/>
        </w:rPr>
        <w:t>inosservanza</w:t>
      </w:r>
      <w:proofErr w:type="gramEnd"/>
      <w:r>
        <w:rPr>
          <w:rFonts w:ascii="Titillium" w:eastAsia="Titillium" w:hAnsi="Titillium" w:cs="Titillium"/>
          <w:b/>
          <w:sz w:val="27"/>
          <w:szCs w:val="27"/>
        </w:rPr>
        <w:t xml:space="preserve"> della legge 4/2004</w:t>
      </w:r>
    </w:p>
    <w:p w14:paraId="0000001C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1D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b/>
          <w:sz w:val="24"/>
          <w:szCs w:val="24"/>
        </w:rPr>
        <w:t>PERCEPIBILE</w:t>
      </w:r>
    </w:p>
    <w:p w14:paraId="0000001E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ARIA6 Utilizzare aria-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fornire etichette agli oggetti</w:t>
      </w:r>
    </w:p>
    <w:p w14:paraId="0000001F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F65 Fallimento del criterio di successo 1.1.1 a causa dell'omissione dell'attributo alt su elementi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img</w:t>
      </w:r>
      <w:proofErr w:type="spellEnd"/>
      <w:r>
        <w:rPr>
          <w:rFonts w:ascii="Titillium" w:eastAsia="Titillium" w:hAnsi="Titillium" w:cs="Titillium"/>
          <w:sz w:val="24"/>
          <w:szCs w:val="24"/>
        </w:rPr>
        <w:t>, elementi area ed elementi input di tipo image</w:t>
      </w:r>
    </w:p>
    <w:p w14:paraId="00000020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H30-1.1.1 Fornire il testo del collegamento che descrive lo scopo di </w:t>
      </w:r>
      <w:r>
        <w:rPr>
          <w:rFonts w:ascii="Titillium" w:eastAsia="Titillium" w:hAnsi="Titillium" w:cs="Titillium"/>
          <w:sz w:val="24"/>
          <w:szCs w:val="24"/>
        </w:rPr>
        <w:t>un collegamento per gli elementi di ancoraggio</w:t>
      </w:r>
    </w:p>
    <w:p w14:paraId="00000021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H36 Utilizzare attributi alt per immagini utilizzate come pulsanti di invio</w:t>
      </w:r>
    </w:p>
    <w:p w14:paraId="00000022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H37 Utilizzo degli attributi alt sugli elementi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img</w:t>
      </w:r>
      <w:proofErr w:type="spellEnd"/>
    </w:p>
    <w:p w14:paraId="00000023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1.1.1 - 1.3.1 -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H65 Utilizzo dell'a</w:t>
      </w:r>
      <w:r>
        <w:rPr>
          <w:rFonts w:ascii="Titillium" w:eastAsia="Titillium" w:hAnsi="Titillium" w:cs="Titillium"/>
          <w:sz w:val="24"/>
          <w:szCs w:val="24"/>
        </w:rPr>
        <w:t xml:space="preserve">ttributo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title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identificare i controlli del modulo quando l'elemento etichetta non può essere utilizzato</w:t>
      </w:r>
    </w:p>
    <w:p w14:paraId="00000024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ARIA16 Utilizzo di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tag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aria-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labelledby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fornire un nome ai controlli dell’interfaccia utente</w:t>
      </w:r>
    </w:p>
    <w:p w14:paraId="00000025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H63 Utilizzo de</w:t>
      </w:r>
      <w:r>
        <w:rPr>
          <w:rFonts w:ascii="Titillium" w:eastAsia="Titillium" w:hAnsi="Titillium" w:cs="Titillium"/>
          <w:sz w:val="24"/>
          <w:szCs w:val="24"/>
        </w:rPr>
        <w:t>ll'attributo scope per associare celle di intestazione e celle di dati in tabelle di dati</w:t>
      </w:r>
    </w:p>
    <w:p w14:paraId="00000026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H42 Utilizzo di h1-h6 per identificare le intestazioni</w:t>
      </w:r>
    </w:p>
    <w:p w14:paraId="00000027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1.3.5 -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H98 Identificare lo scopo degli input usando il valore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autocomplete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</w:t>
      </w:r>
    </w:p>
    <w:p w14:paraId="00000028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E SC 1</w:t>
      </w:r>
      <w:r>
        <w:rPr>
          <w:rFonts w:ascii="Titillium" w:eastAsia="Titillium" w:hAnsi="Titillium" w:cs="Titillium"/>
          <w:sz w:val="24"/>
          <w:szCs w:val="24"/>
        </w:rPr>
        <w:t xml:space="preserve">.4.1 -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F73 Fallimento del criterio di successo 1.4.1 a causa della creazione di link non visibili evidenti senza la percezione del colore</w:t>
      </w:r>
    </w:p>
    <w:p w14:paraId="00000029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1.4.3 -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G18 Garantire che esista un rapporto di contrasto di almeno </w:t>
      </w:r>
      <w:proofErr w:type="gramStart"/>
      <w:r>
        <w:rPr>
          <w:rFonts w:ascii="Titillium" w:eastAsia="Titillium" w:hAnsi="Titillium" w:cs="Titillium"/>
          <w:sz w:val="24"/>
          <w:szCs w:val="24"/>
        </w:rPr>
        <w:t>4,5:1</w:t>
      </w:r>
      <w:proofErr w:type="gramEnd"/>
      <w:r>
        <w:rPr>
          <w:rFonts w:ascii="Titillium" w:eastAsia="Titillium" w:hAnsi="Titillium" w:cs="Titillium"/>
          <w:sz w:val="24"/>
          <w:szCs w:val="24"/>
        </w:rPr>
        <w:t xml:space="preserve"> tra il testo (e le immagini d</w:t>
      </w:r>
      <w:r>
        <w:rPr>
          <w:rFonts w:ascii="Titillium" w:eastAsia="Titillium" w:hAnsi="Titillium" w:cs="Titillium"/>
          <w:sz w:val="24"/>
          <w:szCs w:val="24"/>
        </w:rPr>
        <w:t>el testo) e lo sfondo dietro il testo</w:t>
      </w:r>
    </w:p>
    <w:p w14:paraId="0000002A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lastRenderedPageBreak/>
        <w:t xml:space="preserve">E SC 1.4.10 -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C38 Utilizzo di CSS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width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,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max-width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e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flexbox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adattare etichette e input</w:t>
      </w:r>
    </w:p>
    <w:p w14:paraId="0000002B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1.4.11 -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F78 Utilizzo di un indicatore di messa a fuoco altamente visibile fornito dall'autore</w:t>
      </w:r>
    </w:p>
    <w:p w14:paraId="0000002C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1.4.11 -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</w:t>
      </w:r>
      <w:r>
        <w:rPr>
          <w:rFonts w:ascii="Titillium" w:eastAsia="Titillium" w:hAnsi="Titillium" w:cs="Titillium"/>
          <w:sz w:val="24"/>
          <w:szCs w:val="24"/>
        </w:rPr>
        <w:t>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G195 Utilizzo di un indicatore di messa a fuoco altamente visibile fornito dall'autore</w:t>
      </w:r>
    </w:p>
    <w:p w14:paraId="0000002D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H67 Utilizzo di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null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alt text e nessun attributo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title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su elementi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img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immagini che AT dovrebbe ignorare</w:t>
      </w:r>
    </w:p>
    <w:p w14:paraId="0000002E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ARIA6 Utilizzare aria</w:t>
      </w:r>
      <w:r>
        <w:rPr>
          <w:rFonts w:ascii="Titillium" w:eastAsia="Titillium" w:hAnsi="Titillium" w:cs="Titillium"/>
          <w:sz w:val="24"/>
          <w:szCs w:val="24"/>
        </w:rPr>
        <w:t>-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fornire etichette agli oggetti</w:t>
      </w:r>
    </w:p>
    <w:p w14:paraId="0000002F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H73 Utilizzare l’attributo sommario della tabella degli elementi per fornire una panoramica dei dati della tabella</w:t>
      </w:r>
    </w:p>
    <w:p w14:paraId="00000030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ARIA11 Utilizzo dei punti di riferimento ARIA per identificare </w:t>
      </w:r>
      <w:r>
        <w:rPr>
          <w:rFonts w:ascii="Titillium" w:eastAsia="Titillium" w:hAnsi="Titillium" w:cs="Titillium"/>
          <w:sz w:val="24"/>
          <w:szCs w:val="24"/>
        </w:rPr>
        <w:t>le aree di una pagina</w:t>
      </w:r>
    </w:p>
    <w:p w14:paraId="00000031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1.3.1 -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G162 Posizionamento di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labels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massimizzare la prevedibilità delle relazioni</w:t>
      </w:r>
    </w:p>
    <w:p w14:paraId="00000032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1.4.4 - 1.4.5 -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C12-13-14 Utilizzo di percentuale, unità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em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o dimensioni dei caratteri con nome</w:t>
      </w:r>
    </w:p>
    <w:p w14:paraId="00000033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1.4.4 - 1.4.12 -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C28</w:t>
      </w:r>
      <w:r>
        <w:rPr>
          <w:rFonts w:ascii="Titillium" w:eastAsia="Titillium" w:hAnsi="Titillium" w:cs="Titillium"/>
          <w:sz w:val="24"/>
          <w:szCs w:val="24"/>
        </w:rPr>
        <w:t xml:space="preserve"> Specificare la dimensione dei contenitori di testo utilizzando le unità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em</w:t>
      </w:r>
      <w:proofErr w:type="spellEnd"/>
    </w:p>
    <w:p w14:paraId="00000034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1.4.12 -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C21 Specifica dell'interlinea nei CSS</w:t>
      </w:r>
    </w:p>
    <w:p w14:paraId="00000035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36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b/>
          <w:sz w:val="24"/>
          <w:szCs w:val="24"/>
        </w:rPr>
        <w:t>COMPRENSIBILE</w:t>
      </w:r>
    </w:p>
    <w:p w14:paraId="00000037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3.1.1 -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H57 Utilizzo di attributi di linguaggio sugli elementi html</w:t>
      </w:r>
    </w:p>
    <w:p w14:paraId="00000038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3.3.2 -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G162 Posizio</w:t>
      </w:r>
      <w:r>
        <w:rPr>
          <w:rFonts w:ascii="Titillium" w:eastAsia="Titillium" w:hAnsi="Titillium" w:cs="Titillium"/>
          <w:sz w:val="24"/>
          <w:szCs w:val="24"/>
        </w:rPr>
        <w:t xml:space="preserve">namento di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labels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massimizzare la prevedibilità delle relazioni</w:t>
      </w:r>
    </w:p>
    <w:p w14:paraId="00000039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3A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4"/>
          <w:szCs w:val="24"/>
        </w:rPr>
      </w:pPr>
      <w:r>
        <w:rPr>
          <w:rFonts w:ascii="Titillium" w:eastAsia="Titillium" w:hAnsi="Titillium" w:cs="Titillium"/>
          <w:b/>
          <w:sz w:val="24"/>
          <w:szCs w:val="24"/>
        </w:rPr>
        <w:t>OPERABILE</w:t>
      </w:r>
    </w:p>
    <w:p w14:paraId="0000003B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2.4.4 -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H30 Fornire il testo del collegamento che descrive lo scopo di un collegamento per gli elementi di ancoraggio</w:t>
      </w:r>
    </w:p>
    <w:p w14:paraId="0000003C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2.4.7 -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F78-2.4.7 Utilizzo di un indicatore di messa a fuoco altamente visibile fornito dall'autore</w:t>
      </w:r>
    </w:p>
    <w:p w14:paraId="0000003D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2.4.7 -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G195-2.4.7 Utilizzo di un indicatore di messa a fuoco altamente visibile fornito dall'autore</w:t>
      </w:r>
    </w:p>
    <w:p w14:paraId="0000003E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2.4.1 -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ARIA11 Utilizzo d</w:t>
      </w:r>
      <w:r>
        <w:rPr>
          <w:rFonts w:ascii="Titillium" w:eastAsia="Titillium" w:hAnsi="Titillium" w:cs="Titillium"/>
          <w:sz w:val="24"/>
          <w:szCs w:val="24"/>
        </w:rPr>
        <w:t>ei punti di riferimento ARIA per identificare le aree di una pagina</w:t>
      </w:r>
    </w:p>
    <w:p w14:paraId="0000003F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2.4.4 -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H33 Integrazione del testo del link con l'attributo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title</w:t>
      </w:r>
      <w:proofErr w:type="spellEnd"/>
    </w:p>
    <w:p w14:paraId="00000040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2.5.3 -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F96 Se nella pagina sono presenti 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tag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arialabel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o aria-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labelledby</w:t>
      </w:r>
      <w:proofErr w:type="spellEnd"/>
      <w:r>
        <w:rPr>
          <w:rFonts w:ascii="Titillium" w:eastAsia="Titillium" w:hAnsi="Titillium" w:cs="Titillium"/>
          <w:sz w:val="24"/>
          <w:szCs w:val="24"/>
        </w:rPr>
        <w:t>, verificare che il loro co</w:t>
      </w:r>
      <w:r>
        <w:rPr>
          <w:rFonts w:ascii="Titillium" w:eastAsia="Titillium" w:hAnsi="Titillium" w:cs="Titillium"/>
          <w:sz w:val="24"/>
          <w:szCs w:val="24"/>
        </w:rPr>
        <w:t>ntenuto corrisponda al nome visibile</w:t>
      </w:r>
    </w:p>
    <w:p w14:paraId="00000041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42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bookmarkStart w:id="0" w:name="_gjdgxs" w:colFirst="0" w:colLast="0"/>
      <w:bookmarkEnd w:id="0"/>
      <w:r>
        <w:rPr>
          <w:rFonts w:ascii="Titillium" w:eastAsia="Titillium" w:hAnsi="Titillium" w:cs="Titillium"/>
          <w:b/>
          <w:sz w:val="24"/>
          <w:szCs w:val="24"/>
        </w:rPr>
        <w:t>ROBUSTO</w:t>
      </w:r>
    </w:p>
    <w:p w14:paraId="00000043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4.1.2 -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H65 Utilizzo dell'attributo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title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identificare i controlli del modulo quando l'elemento etichetta non può essere utilizzato</w:t>
      </w:r>
    </w:p>
    <w:p w14:paraId="00000044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E SC 4.1.2 -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ARIA16 Utilizzo di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tag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aria-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labelledby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per for</w:t>
      </w:r>
      <w:r>
        <w:rPr>
          <w:rFonts w:ascii="Titillium" w:eastAsia="Titillium" w:hAnsi="Titillium" w:cs="Titillium"/>
          <w:sz w:val="24"/>
          <w:szCs w:val="24"/>
        </w:rPr>
        <w:t>nire un nome ai controlli dell’interfaccia utente</w:t>
      </w:r>
    </w:p>
    <w:p w14:paraId="00000045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4.1.2 -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ARIA5 Utilizzo degli attributi di stato e proprietà WAI-ARIA per esporre lo stato di un componente dell'interfaccia utente</w:t>
      </w:r>
    </w:p>
    <w:p w14:paraId="00000046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W SC 4.1.3 -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Tech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G199 Utilizzare l'attributo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role</w:t>
      </w:r>
      <w:proofErr w:type="spellEnd"/>
      <w:r>
        <w:rPr>
          <w:rFonts w:ascii="Titillium" w:eastAsia="Titillium" w:hAnsi="Titillium" w:cs="Titillium"/>
          <w:sz w:val="24"/>
          <w:szCs w:val="24"/>
        </w:rPr>
        <w:t>=status per not</w:t>
      </w:r>
      <w:r>
        <w:rPr>
          <w:rFonts w:ascii="Titillium" w:eastAsia="Titillium" w:hAnsi="Titillium" w:cs="Titillium"/>
          <w:sz w:val="24"/>
          <w:szCs w:val="24"/>
        </w:rPr>
        <w:t xml:space="preserve">ificare ad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Assistive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Technologies che l'invio è andato a buon fine</w:t>
      </w:r>
    </w:p>
    <w:p w14:paraId="00000047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REDAZIONE DELLA DICHIARAZIONE DI ACCESSIBILITÀ</w:t>
      </w:r>
    </w:p>
    <w:p w14:paraId="00000048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lastRenderedPageBreak/>
        <w:t>La dichiarazione è stata redatta il 13.11.2023.</w:t>
      </w:r>
    </w:p>
    <w:p w14:paraId="00000049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La dichiarazione è stata effettuata utilizzando una valutazione conforme alle prescrizioni del</w:t>
      </w:r>
      <w:r>
        <w:rPr>
          <w:rFonts w:ascii="Titillium" w:eastAsia="Titillium" w:hAnsi="Titillium" w:cs="Titillium"/>
          <w:sz w:val="24"/>
          <w:szCs w:val="24"/>
        </w:rPr>
        <w:t xml:space="preserve">la direttiva (UE) 2016/2012 mediante </w:t>
      </w:r>
      <w:r>
        <w:rPr>
          <w:rFonts w:ascii="Titillium" w:eastAsia="Titillium" w:hAnsi="Titillium" w:cs="Titillium"/>
          <w:b/>
          <w:sz w:val="24"/>
          <w:szCs w:val="24"/>
        </w:rPr>
        <w:t>strumento automatico di valutazione MAUVE++.</w:t>
      </w:r>
    </w:p>
    <w:p w14:paraId="0000004A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L’analisi è stata effettuata utilizzando il modello autovalutazione AGID? No</w:t>
      </w:r>
    </w:p>
    <w:p w14:paraId="0000004B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FEEDBACK E RECAPITI</w:t>
      </w:r>
    </w:p>
    <w:p w14:paraId="0000004C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L'Ente mette a disposizione il meccanismo di feedback da utilizzare per notif</w:t>
      </w:r>
      <w:r>
        <w:rPr>
          <w:rFonts w:ascii="Titillium" w:eastAsia="Titillium" w:hAnsi="Titillium" w:cs="Titillium"/>
          <w:sz w:val="24"/>
          <w:szCs w:val="24"/>
        </w:rPr>
        <w:t>icare i casi di mancata conformità e per richiedere informazioni e contenuti che sono esclusi dall'ambito di applicazione della direttiva</w:t>
      </w:r>
    </w:p>
    <w:p w14:paraId="2085C88D" w14:textId="10F13C7B" w:rsidR="005076A2" w:rsidRPr="005076A2" w:rsidRDefault="00370B37" w:rsidP="005076A2">
      <w:pPr>
        <w:rPr>
          <w:rFonts w:ascii="Times New Roman" w:hAnsi="Times New Roman" w:cs="Times New Roman"/>
          <w:sz w:val="24"/>
          <w:szCs w:val="24"/>
        </w:rPr>
      </w:pPr>
      <w:r w:rsidRPr="005076A2">
        <w:rPr>
          <w:rFonts w:ascii="Times New Roman" w:eastAsia="Titillium" w:hAnsi="Times New Roman" w:cs="Times New Roman"/>
          <w:b/>
          <w:sz w:val="24"/>
          <w:szCs w:val="24"/>
        </w:rPr>
        <w:t>Meccanismo di feedback</w:t>
      </w:r>
      <w:r w:rsidRPr="005076A2">
        <w:rPr>
          <w:rFonts w:ascii="Times New Roman" w:eastAsia="Titillium" w:hAnsi="Times New Roman" w:cs="Times New Roman"/>
          <w:sz w:val="24"/>
          <w:szCs w:val="24"/>
        </w:rPr>
        <w:t xml:space="preserve">: </w:t>
      </w:r>
      <w:hyperlink r:id="rId13" w:history="1">
        <w:r w:rsidR="005076A2" w:rsidRPr="005076A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https://www.fi.camcom.gov.it/amministrazione-trasparente/altri-contenuti/accessibilità</w:t>
        </w:r>
      </w:hyperlink>
    </w:p>
    <w:p w14:paraId="3B60E9BC" w14:textId="0D50D36A" w:rsidR="00AC341F" w:rsidRPr="00AC341F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b/>
          <w:sz w:val="24"/>
          <w:szCs w:val="24"/>
        </w:rPr>
        <w:t>Email della persona responsabile dell’accessibilità (RTD)</w:t>
      </w:r>
      <w:r>
        <w:rPr>
          <w:rFonts w:ascii="Titillium" w:eastAsia="Titillium" w:hAnsi="Titillium" w:cs="Titillium"/>
          <w:sz w:val="24"/>
          <w:szCs w:val="24"/>
        </w:rPr>
        <w:t>:</w:t>
      </w:r>
      <w:r>
        <w:rPr>
          <w:rFonts w:ascii="Titillium" w:eastAsia="Titillium" w:hAnsi="Titillium" w:cs="Titillium"/>
          <w:sz w:val="24"/>
          <w:szCs w:val="24"/>
        </w:rPr>
        <w:t xml:space="preserve"> </w:t>
      </w:r>
      <w:hyperlink r:id="rId14" w:history="1">
        <w:r w:rsidR="00AC341F" w:rsidRPr="00DC3AAB">
          <w:rPr>
            <w:rStyle w:val="Collegamentoipertestuale"/>
            <w:rFonts w:ascii="Titillium" w:eastAsia="Titillium" w:hAnsi="Titillium" w:cs="Titillium"/>
            <w:sz w:val="24"/>
            <w:szCs w:val="24"/>
          </w:rPr>
          <w:t>brunella.tarli@fi.camcom.it</w:t>
        </w:r>
      </w:hyperlink>
    </w:p>
    <w:p w14:paraId="0000004F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PROCEDURA DI ATTUAZIONE</w:t>
      </w:r>
    </w:p>
    <w:p w14:paraId="00000050" w14:textId="77777777" w:rsidR="006D43FC" w:rsidRDefault="00370B37">
      <w:pPr>
        <w:spacing w:before="280" w:after="280"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Procedura di attuazione ai sensi dell’art. 3-quinquies, comma 3, L. 9 gennaio 2004, n. 4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s.m.i.</w:t>
      </w:r>
      <w:proofErr w:type="spellEnd"/>
      <w:r>
        <w:rPr>
          <w:rFonts w:ascii="Titillium" w:eastAsia="Titillium" w:hAnsi="Titillium" w:cs="Titillium"/>
          <w:sz w:val="24"/>
          <w:szCs w:val="24"/>
        </w:rPr>
        <w:t>.</w:t>
      </w:r>
      <w:r>
        <w:rPr>
          <w:rFonts w:ascii="Titillium" w:eastAsia="Titillium" w:hAnsi="Titillium" w:cs="Titillium"/>
          <w:sz w:val="24"/>
          <w:szCs w:val="24"/>
        </w:rPr>
        <w:br/>
      </w:r>
      <w:r>
        <w:rPr>
          <w:rFonts w:ascii="Titillium" w:eastAsia="Titillium" w:hAnsi="Titillium" w:cs="Titillium"/>
          <w:sz w:val="24"/>
          <w:szCs w:val="24"/>
        </w:rPr>
        <w:br/>
      </w:r>
      <w:r>
        <w:rPr>
          <w:rFonts w:ascii="Titillium" w:eastAsia="Titillium" w:hAnsi="Titillium" w:cs="Titillium"/>
          <w:sz w:val="24"/>
          <w:szCs w:val="24"/>
        </w:rPr>
        <w:t>L’utente può inviare il reclamo al Difensore civico per il digitale, istituito ai sensi dell’art. 17 comma 1-quater CAD, esclusivamente a seguito di risposta insoddisfacente o mancata risposta al feedback notificato al soggetto erogatore.</w:t>
      </w:r>
    </w:p>
    <w:p w14:paraId="00000051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hyperlink r:id="rId15">
        <w:r>
          <w:rPr>
            <w:rFonts w:ascii="Titillium" w:eastAsia="Titillium" w:hAnsi="Titillium" w:cs="Titillium"/>
            <w:color w:val="0000FF"/>
            <w:sz w:val="24"/>
            <w:szCs w:val="24"/>
            <w:u w:val="single"/>
          </w:rPr>
          <w:t>Reclamo al Difensore civico per il digitale</w:t>
        </w:r>
      </w:hyperlink>
    </w:p>
    <w:p w14:paraId="00000052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53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36"/>
          <w:szCs w:val="36"/>
        </w:rPr>
      </w:pPr>
      <w:r>
        <w:rPr>
          <w:rFonts w:ascii="Titillium" w:eastAsia="Titillium" w:hAnsi="Titillium" w:cs="Titillium"/>
          <w:b/>
          <w:sz w:val="36"/>
          <w:szCs w:val="36"/>
        </w:rPr>
        <w:t>Sezione 2</w:t>
      </w:r>
    </w:p>
    <w:p w14:paraId="00000054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>Informazioni richieste da AGID</w:t>
      </w:r>
    </w:p>
    <w:p w14:paraId="00000055" w14:textId="77777777" w:rsidR="006D43FC" w:rsidRDefault="006D43FC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</w:p>
    <w:p w14:paraId="00000056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INFORMAZIONI SUL SITO</w:t>
      </w:r>
    </w:p>
    <w:p w14:paraId="00000057" w14:textId="430CA77D" w:rsidR="006D43FC" w:rsidRPr="00C83391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 w:rsidRPr="00C83391">
        <w:rPr>
          <w:rFonts w:ascii="Titillium" w:eastAsia="Titillium" w:hAnsi="Titillium" w:cs="Titillium"/>
          <w:sz w:val="24"/>
          <w:szCs w:val="24"/>
        </w:rPr>
        <w:t xml:space="preserve">Data della pubblicazione del sito o applicazione mobile: </w:t>
      </w:r>
      <w:r w:rsidR="0032280F" w:rsidRPr="00C83391">
        <w:rPr>
          <w:rFonts w:ascii="Titillium" w:eastAsia="Titillium" w:hAnsi="Titillium" w:cs="Titillium"/>
          <w:sz w:val="24"/>
          <w:szCs w:val="24"/>
        </w:rPr>
        <w:t>10/10/20</w:t>
      </w:r>
      <w:r>
        <w:rPr>
          <w:rFonts w:ascii="Titillium" w:eastAsia="Titillium" w:hAnsi="Titillium" w:cs="Titillium"/>
          <w:sz w:val="24"/>
          <w:szCs w:val="24"/>
        </w:rPr>
        <w:t>1</w:t>
      </w:r>
      <w:r w:rsidR="0032280F" w:rsidRPr="00C83391">
        <w:rPr>
          <w:rFonts w:ascii="Titillium" w:eastAsia="Titillium" w:hAnsi="Titillium" w:cs="Titillium"/>
          <w:sz w:val="24"/>
          <w:szCs w:val="24"/>
        </w:rPr>
        <w:t>7</w:t>
      </w:r>
    </w:p>
    <w:p w14:paraId="00000058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Sono stati effettuati test di </w:t>
      </w:r>
      <w:proofErr w:type="gramStart"/>
      <w:r>
        <w:rPr>
          <w:rFonts w:ascii="Titillium" w:eastAsia="Titillium" w:hAnsi="Titillium" w:cs="Titillium"/>
          <w:sz w:val="24"/>
          <w:szCs w:val="24"/>
        </w:rPr>
        <w:t>usabilità?:</w:t>
      </w:r>
      <w:proofErr w:type="gramEnd"/>
      <w:r>
        <w:rPr>
          <w:rFonts w:ascii="Titillium" w:eastAsia="Titillium" w:hAnsi="Titillium" w:cs="Titillium"/>
          <w:sz w:val="24"/>
          <w:szCs w:val="24"/>
        </w:rPr>
        <w:t xml:space="preserve"> NO</w:t>
      </w:r>
    </w:p>
    <w:p w14:paraId="00000059" w14:textId="77777777" w:rsidR="006D43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>
        <w:rPr>
          <w:rFonts w:ascii="Titillium" w:eastAsia="Titillium" w:hAnsi="Titillium" w:cs="Titillium"/>
          <w:sz w:val="24"/>
          <w:szCs w:val="24"/>
        </w:rPr>
        <w:t xml:space="preserve">Content Management System (CMS) utilizzato: </w:t>
      </w:r>
      <w:proofErr w:type="spellStart"/>
      <w:r>
        <w:rPr>
          <w:rFonts w:ascii="Titillium" w:eastAsia="Titillium" w:hAnsi="Titillium" w:cs="Titillium"/>
          <w:sz w:val="24"/>
          <w:szCs w:val="24"/>
        </w:rPr>
        <w:t>Drupal</w:t>
      </w:r>
      <w:proofErr w:type="spellEnd"/>
      <w:r>
        <w:rPr>
          <w:rFonts w:ascii="Titillium" w:eastAsia="Titillium" w:hAnsi="Titillium" w:cs="Titillium"/>
          <w:sz w:val="24"/>
          <w:szCs w:val="24"/>
        </w:rPr>
        <w:t xml:space="preserve"> versione 7.82</w:t>
      </w:r>
    </w:p>
    <w:p w14:paraId="0000005A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5B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INFORMAZIONI SULLA STRUTTURA</w:t>
      </w:r>
    </w:p>
    <w:p w14:paraId="0000005C" w14:textId="139E4618" w:rsidR="006D43FC" w:rsidRPr="005B3F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 w:rsidRPr="005B3FFC">
        <w:rPr>
          <w:rFonts w:ascii="Titillium" w:eastAsia="Titillium" w:hAnsi="Titillium" w:cs="Titillium"/>
          <w:sz w:val="24"/>
          <w:szCs w:val="24"/>
        </w:rPr>
        <w:t xml:space="preserve">Numero di dipendenti con disabilità presenti nell'amministrazione: </w:t>
      </w:r>
      <w:r w:rsidR="005B3FFC" w:rsidRPr="005B3FFC">
        <w:rPr>
          <w:rFonts w:ascii="Titillium" w:eastAsia="Titillium" w:hAnsi="Titillium" w:cs="Titillium"/>
          <w:sz w:val="24"/>
          <w:szCs w:val="24"/>
        </w:rPr>
        <w:t>5</w:t>
      </w:r>
    </w:p>
    <w:p w14:paraId="0000005D" w14:textId="5A34740E" w:rsidR="006D43FC" w:rsidRPr="005B3FFC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 w:rsidRPr="005B3FFC">
        <w:rPr>
          <w:rFonts w:ascii="Titillium" w:eastAsia="Titillium" w:hAnsi="Titillium" w:cs="Titillium"/>
          <w:sz w:val="24"/>
          <w:szCs w:val="24"/>
        </w:rPr>
        <w:t>Numero di postazioni di lavoro per d</w:t>
      </w:r>
      <w:r w:rsidRPr="005B3FFC">
        <w:rPr>
          <w:rFonts w:ascii="Titillium" w:eastAsia="Titillium" w:hAnsi="Titillium" w:cs="Titillium"/>
          <w:sz w:val="24"/>
          <w:szCs w:val="24"/>
        </w:rPr>
        <w:t xml:space="preserve">ipendenti con disabilità: </w:t>
      </w:r>
      <w:r w:rsidR="005B3FFC" w:rsidRPr="005B3FFC">
        <w:rPr>
          <w:rFonts w:ascii="Titillium" w:eastAsia="Titillium" w:hAnsi="Titillium" w:cs="Titillium"/>
          <w:sz w:val="24"/>
          <w:szCs w:val="24"/>
        </w:rPr>
        <w:t>5</w:t>
      </w:r>
      <w:bookmarkStart w:id="1" w:name="_GoBack"/>
      <w:bookmarkEnd w:id="1"/>
    </w:p>
    <w:p w14:paraId="0000005E" w14:textId="77777777" w:rsidR="006D43FC" w:rsidRDefault="006D43FC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</w:p>
    <w:p w14:paraId="0000005F" w14:textId="77777777" w:rsidR="006D43FC" w:rsidRDefault="00370B37">
      <w:pPr>
        <w:spacing w:line="240" w:lineRule="auto"/>
        <w:rPr>
          <w:rFonts w:ascii="Titillium" w:eastAsia="Titillium" w:hAnsi="Titillium" w:cs="Titillium"/>
          <w:b/>
          <w:sz w:val="27"/>
          <w:szCs w:val="27"/>
        </w:rPr>
      </w:pPr>
      <w:r>
        <w:rPr>
          <w:rFonts w:ascii="Titillium" w:eastAsia="Titillium" w:hAnsi="Titillium" w:cs="Titillium"/>
          <w:b/>
          <w:sz w:val="27"/>
          <w:szCs w:val="27"/>
        </w:rPr>
        <w:t>IL RESPONSABILE DEI PROCESSI DI INTEGRAZIONE</w:t>
      </w:r>
    </w:p>
    <w:p w14:paraId="00000060" w14:textId="77777777" w:rsidR="006D43FC" w:rsidRPr="001214A5" w:rsidRDefault="00370B37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  <w:r w:rsidRPr="001214A5">
        <w:rPr>
          <w:rFonts w:ascii="Titillium" w:eastAsia="Titillium" w:hAnsi="Titillium" w:cs="Titillium"/>
          <w:sz w:val="24"/>
          <w:szCs w:val="24"/>
        </w:rPr>
        <w:t xml:space="preserve">Il responsabile dei processi di integrazione NON </w:t>
      </w:r>
      <w:r w:rsidRPr="001214A5">
        <w:rPr>
          <w:rFonts w:ascii="Titillium" w:eastAsia="Titillium" w:hAnsi="Titillium" w:cs="Titillium"/>
          <w:b/>
          <w:sz w:val="24"/>
          <w:szCs w:val="24"/>
        </w:rPr>
        <w:t>è previsto nella struttura</w:t>
      </w:r>
      <w:r w:rsidRPr="001214A5">
        <w:rPr>
          <w:rFonts w:ascii="Titillium" w:eastAsia="Titillium" w:hAnsi="Titillium" w:cs="Titillium"/>
          <w:sz w:val="24"/>
          <w:szCs w:val="24"/>
        </w:rPr>
        <w:t>.</w:t>
      </w:r>
    </w:p>
    <w:p w14:paraId="00000061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p w14:paraId="00000062" w14:textId="77777777" w:rsidR="006D43FC" w:rsidRDefault="006D43FC">
      <w:pPr>
        <w:spacing w:line="240" w:lineRule="auto"/>
        <w:rPr>
          <w:rFonts w:ascii="Titillium" w:eastAsia="Titillium" w:hAnsi="Titillium" w:cs="Titillium"/>
          <w:sz w:val="24"/>
          <w:szCs w:val="24"/>
        </w:rPr>
      </w:pPr>
    </w:p>
    <w:sectPr w:rsidR="006D43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Titill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C"/>
    <w:rsid w:val="001214A5"/>
    <w:rsid w:val="0032280F"/>
    <w:rsid w:val="00370B37"/>
    <w:rsid w:val="00484CFA"/>
    <w:rsid w:val="005076A2"/>
    <w:rsid w:val="005B3FFC"/>
    <w:rsid w:val="006D43FC"/>
    <w:rsid w:val="00943810"/>
    <w:rsid w:val="00972E78"/>
    <w:rsid w:val="00AC341F"/>
    <w:rsid w:val="00C83391"/>
    <w:rsid w:val="00D42989"/>
    <w:rsid w:val="00E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F30D1-A228-4EF9-A755-B1FBA198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507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.camcom.gov.it/promozione-e-assistenza-alle-imprese" TargetMode="External"/><Relationship Id="rId13" Type="http://schemas.openxmlformats.org/officeDocument/2006/relationships/hyperlink" Target="https://www.fi.camcom.gov.it/amministrazione-trasparente/altri-contenuti/accessibilit%C3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.camcom.gov.it/quesiti-e-richiesta-di-informazioni" TargetMode="External"/><Relationship Id="rId12" Type="http://schemas.openxmlformats.org/officeDocument/2006/relationships/hyperlink" Target="https://www.fi.camcom.gov.i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i.camcom.gov.it/accedi" TargetMode="External"/><Relationship Id="rId11" Type="http://schemas.openxmlformats.org/officeDocument/2006/relationships/hyperlink" Target="https://www.fi.camcom.gov.it/tutto-ci%C3%B2-che-c%E2%80%99%C3%A8-da-sapere-sulla-categoria-2-bis-dellalbo-gestori-ambientali" TargetMode="External"/><Relationship Id="rId5" Type="http://schemas.openxmlformats.org/officeDocument/2006/relationships/hyperlink" Target="https://www.fi.camcom.gov.it/" TargetMode="External"/><Relationship Id="rId15" Type="http://schemas.openxmlformats.org/officeDocument/2006/relationships/hyperlink" Target="https://form.agid.gov.it/form/procedura-attuazione/ae33563c-d75d-4fad-8d8b-130a8f86709a" TargetMode="External"/><Relationship Id="rId10" Type="http://schemas.openxmlformats.org/officeDocument/2006/relationships/hyperlink" Target="https://www.fi.camcom.gov.it/sei-unimpresa" TargetMode="External"/><Relationship Id="rId4" Type="http://schemas.openxmlformats.org/officeDocument/2006/relationships/hyperlink" Target="https://www.agid.gov.it/en/node/102952" TargetMode="External"/><Relationship Id="rId9" Type="http://schemas.openxmlformats.org/officeDocument/2006/relationships/hyperlink" Target="https://www.fi.camcom.gov.it/elencomodulistica" TargetMode="External"/><Relationship Id="rId14" Type="http://schemas.openxmlformats.org/officeDocument/2006/relationships/hyperlink" Target="mailto:brunella.tarli@fi.camcom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Zarone</cp:lastModifiedBy>
  <cp:revision>13</cp:revision>
  <dcterms:created xsi:type="dcterms:W3CDTF">2023-12-06T10:35:00Z</dcterms:created>
  <dcterms:modified xsi:type="dcterms:W3CDTF">2023-12-06T13:38:00Z</dcterms:modified>
</cp:coreProperties>
</file>