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7E330D" w:rsidP="007E330D">
            <w:pPr>
              <w:jc w:val="both"/>
            </w:pPr>
            <w:r>
              <w:t>Giocattoli nautici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D720E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3536" behindDoc="0" locked="0" layoutInCell="1" allowOverlap="1" wp14:anchorId="24CACCC6" wp14:editId="131E811A">
                  <wp:simplePos x="0" y="0"/>
                  <wp:positionH relativeFrom="column">
                    <wp:posOffset>5816650</wp:posOffset>
                  </wp:positionH>
                  <wp:positionV relativeFrom="paragraph">
                    <wp:posOffset>65279</wp:posOffset>
                  </wp:positionV>
                  <wp:extent cx="1188720" cy="1990725"/>
                  <wp:effectExtent l="0" t="0" r="0" b="952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03CC0456" wp14:editId="44CF14E9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64135</wp:posOffset>
                  </wp:positionV>
                  <wp:extent cx="2641600" cy="1030605"/>
                  <wp:effectExtent l="0" t="0" r="6350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2160EA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5761F4ED" wp14:editId="63FE1079">
                  <wp:simplePos x="0" y="0"/>
                  <wp:positionH relativeFrom="column">
                    <wp:posOffset>3057600</wp:posOffset>
                  </wp:positionH>
                  <wp:positionV relativeFrom="paragraph">
                    <wp:posOffset>29493</wp:posOffset>
                  </wp:positionV>
                  <wp:extent cx="1631264" cy="1567543"/>
                  <wp:effectExtent l="0" t="0" r="762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64" cy="156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2160EA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1AEED050" wp14:editId="56BA51E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52070</wp:posOffset>
                  </wp:positionV>
                  <wp:extent cx="2314575" cy="1683385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2160EA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0" locked="0" layoutInCell="1" allowOverlap="1" wp14:anchorId="2D819C61" wp14:editId="60590D34">
                  <wp:simplePos x="0" y="0"/>
                  <wp:positionH relativeFrom="column">
                    <wp:posOffset>4415790</wp:posOffset>
                  </wp:positionH>
                  <wp:positionV relativeFrom="paragraph">
                    <wp:posOffset>-5715</wp:posOffset>
                  </wp:positionV>
                  <wp:extent cx="1792605" cy="16281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73588F" w:rsidP="007E330D">
            <w:pPr>
              <w:jc w:val="both"/>
            </w:pPr>
            <w:r>
              <w:t xml:space="preserve">Articolo, gonfiabile o meno, destinato ad essere utilizzato in acque basse e in grado di trasportare o sostenere il bambino in acqua. 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00CCB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  <w:p w:rsidR="002B7BA3" w:rsidRPr="00816DC0" w:rsidRDefault="00C8149A" w:rsidP="009A4E18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E’ bene evidenziare che</w:t>
            </w:r>
            <w:r w:rsidR="00200CCB">
              <w:rPr>
                <w:i/>
              </w:rPr>
              <w:t xml:space="preserve"> </w:t>
            </w:r>
            <w:r>
              <w:rPr>
                <w:i/>
              </w:rPr>
              <w:t>sussiste una</w:t>
            </w:r>
            <w:r w:rsidR="00200CCB">
              <w:rPr>
                <w:i/>
              </w:rPr>
              <w:t xml:space="preserve"> distinzione tra quei prodotti che ricadono nella disciplina dei dispositivi di protezione individuale </w:t>
            </w:r>
            <w:r w:rsidR="007E330D">
              <w:rPr>
                <w:i/>
              </w:rPr>
              <w:t>dai rischi di annegamento (salvagente a mutandina e braccioli specifici) e i giocattoli</w:t>
            </w:r>
            <w:r>
              <w:rPr>
                <w:i/>
              </w:rPr>
              <w:t xml:space="preserve"> nautici</w:t>
            </w:r>
            <w:r w:rsidR="007E330D">
              <w:rPr>
                <w:i/>
              </w:rPr>
              <w:t>,</w:t>
            </w:r>
            <w:r w:rsidR="00701375">
              <w:rPr>
                <w:i/>
              </w:rPr>
              <w:t xml:space="preserve"> apparentemente</w:t>
            </w:r>
            <w:r w:rsidR="00200CCB">
              <w:rPr>
                <w:i/>
              </w:rPr>
              <w:t xml:space="preserve"> simili, </w:t>
            </w:r>
            <w:r w:rsidR="007E330D">
              <w:rPr>
                <w:i/>
              </w:rPr>
              <w:t>che non garantiscono</w:t>
            </w:r>
            <w:r>
              <w:rPr>
                <w:i/>
              </w:rPr>
              <w:t xml:space="preserve"> alcuna protezione</w:t>
            </w:r>
            <w:r w:rsidR="00200CCB">
              <w:rPr>
                <w:i/>
              </w:rPr>
              <w:t xml:space="preserve">. I primi soddisfano specifici requisiti di protezione </w:t>
            </w:r>
            <w:r w:rsidR="008924FA">
              <w:rPr>
                <w:i/>
              </w:rPr>
              <w:t xml:space="preserve">dell’utilizzatore </w:t>
            </w:r>
            <w:r>
              <w:rPr>
                <w:i/>
              </w:rPr>
              <w:t>dai rischi di annegamento</w:t>
            </w:r>
            <w:r w:rsidR="008924FA">
              <w:rPr>
                <w:i/>
              </w:rPr>
              <w:t xml:space="preserve"> </w:t>
            </w:r>
            <w:r>
              <w:rPr>
                <w:i/>
              </w:rPr>
              <w:t>garantendo portanza, vestibilità e affidabilità sufficienti allo scopo, i secondi rispettano</w:t>
            </w:r>
            <w:r w:rsidR="007E330D">
              <w:rPr>
                <w:i/>
              </w:rPr>
              <w:t xml:space="preserve"> </w:t>
            </w:r>
            <w:r w:rsidR="00AE4E8E">
              <w:rPr>
                <w:i/>
              </w:rPr>
              <w:t xml:space="preserve">i </w:t>
            </w:r>
            <w:r w:rsidR="007E330D">
              <w:rPr>
                <w:i/>
              </w:rPr>
              <w:t>requisiti di</w:t>
            </w:r>
            <w:r w:rsidR="00AE4E8E">
              <w:rPr>
                <w:i/>
              </w:rPr>
              <w:t xml:space="preserve"> sicurezza intrinseca richiesti</w:t>
            </w:r>
            <w:r w:rsidR="007E330D">
              <w:rPr>
                <w:i/>
              </w:rPr>
              <w:t xml:space="preserve"> per i giocattoli</w:t>
            </w:r>
            <w:r w:rsidR="00200CCB">
              <w:rPr>
                <w:i/>
              </w:rPr>
              <w:t xml:space="preserve"> </w:t>
            </w:r>
            <w:r w:rsidR="007E330D">
              <w:rPr>
                <w:i/>
              </w:rPr>
              <w:t>ma non sono da intendersi come</w:t>
            </w:r>
            <w:r>
              <w:rPr>
                <w:i/>
              </w:rPr>
              <w:t xml:space="preserve"> sicuri contro l’annegamento, per il cui rischio non </w:t>
            </w:r>
            <w:r w:rsidR="008924FA">
              <w:rPr>
                <w:i/>
              </w:rPr>
              <w:t>garantiscono legalmente alcuna protezione</w:t>
            </w:r>
            <w:r w:rsidR="00701375">
              <w:rPr>
                <w:i/>
              </w:rPr>
              <w:t>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confezione. Infine, nel caso di giocattoli venduti in espositori per i quali non è possibile marcare individualmente i prodotti è ammissibile che la marcatura sia apposta sull’espositore, purché rappresenti l’imballo originario.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lastRenderedPageBreak/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e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>la migrazione di alcuni elementi. 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 g</w:t>
            </w:r>
            <w:r w:rsidR="00C146BA">
              <w:t>iocattolo</w:t>
            </w:r>
            <w:r w:rsidR="002607E3">
              <w:t xml:space="preserve"> nautico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9F543C" w:rsidRDefault="009F543C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0E04F50A" wp14:editId="6F392FAF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AE442C" w:rsidRDefault="005900CE" w:rsidP="005900CE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</w:t>
            </w:r>
            <w:r w:rsidR="006D4C5A">
              <w:t xml:space="preserve"> (ad esempio richiede equilibrio)</w:t>
            </w:r>
            <w:r w:rsidR="002607E3">
              <w:t>;</w:t>
            </w:r>
          </w:p>
          <w:p w:rsidR="002607E3" w:rsidRDefault="002607E3" w:rsidP="002607E3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la dicitura “</w:t>
            </w:r>
            <w:r w:rsidRPr="001A76D5">
              <w:rPr>
                <w:i/>
              </w:rPr>
              <w:t>Avvertenza. Utilizzare solo in acque dove il bambino tocca con i piedi e sotto la sorveglianza di un adulto</w:t>
            </w:r>
            <w:r>
              <w:t>”</w:t>
            </w:r>
            <w:r w:rsidR="001A76D5">
              <w:t xml:space="preserve">, realizzata in maniera visibile, indelebile e di un colore che contrasti con il corpo del giocattolo, con caratteri di almeno 3 mm </w:t>
            </w:r>
            <w:r w:rsidR="001A76D5">
              <w:lastRenderedPageBreak/>
              <w:t>di altezza. Nel caso di giocattoli nautici gonfiabili, le avvertenze devono essere poste a non più di 100 mm da una delle valvole di gonfiaggio.</w:t>
            </w:r>
          </w:p>
          <w:p w:rsidR="00964C0E" w:rsidRDefault="00964C0E" w:rsidP="002607E3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Nel caso di giochi nautici con dimensione maggiore superiore a 1,2 m è necessario sia riportata:</w:t>
            </w:r>
          </w:p>
          <w:p w:rsidR="00964C0E" w:rsidRPr="006D4C5A" w:rsidRDefault="00964C0E" w:rsidP="00964C0E">
            <w:pPr>
              <w:pStyle w:val="Paragrafoelenco"/>
              <w:numPr>
                <w:ilvl w:val="1"/>
                <w:numId w:val="23"/>
              </w:numPr>
              <w:jc w:val="both"/>
            </w:pPr>
            <w:r>
              <w:t>l’avvertenza “</w:t>
            </w:r>
            <w:r w:rsidRPr="00964C0E">
              <w:rPr>
                <w:i/>
              </w:rPr>
              <w:t>Attenzione! Nessuna protezione contro il rischio di annegamento!”</w:t>
            </w:r>
          </w:p>
          <w:p w:rsidR="006D4C5A" w:rsidRPr="006D4C5A" w:rsidRDefault="006D4C5A" w:rsidP="00964C0E">
            <w:pPr>
              <w:pStyle w:val="Paragrafoelenco"/>
              <w:numPr>
                <w:ilvl w:val="1"/>
                <w:numId w:val="23"/>
              </w:numPr>
              <w:jc w:val="both"/>
            </w:pPr>
            <w:r>
              <w:t>l</w:t>
            </w:r>
            <w:r w:rsidRPr="006D4C5A">
              <w:t>’avvertenza</w:t>
            </w:r>
            <w:r>
              <w:t xml:space="preserve"> “</w:t>
            </w:r>
            <w:r w:rsidRPr="006D4C5A">
              <w:rPr>
                <w:i/>
              </w:rPr>
              <w:t>Prodotto utilizzabile solo da persone che sanno nuotare</w:t>
            </w:r>
            <w:r>
              <w:t>”</w:t>
            </w:r>
          </w:p>
          <w:p w:rsidR="00964C0E" w:rsidRPr="00964C0E" w:rsidRDefault="00964C0E" w:rsidP="00964C0E">
            <w:pPr>
              <w:pStyle w:val="Paragrafoelenco"/>
              <w:numPr>
                <w:ilvl w:val="1"/>
                <w:numId w:val="23"/>
              </w:numPr>
              <w:jc w:val="both"/>
            </w:pPr>
            <w:r>
              <w:t>L’indicazione</w:t>
            </w:r>
            <w:r w:rsidRPr="00964C0E">
              <w:t xml:space="preserve"> rel</w:t>
            </w:r>
            <w:r>
              <w:t>ativa</w:t>
            </w:r>
            <w:r w:rsidRPr="00964C0E">
              <w:t xml:space="preserve"> al massimo numero di utilizzatori e la massima capacità di carico</w:t>
            </w:r>
            <w:r>
              <w:t>;</w:t>
            </w:r>
          </w:p>
          <w:p w:rsidR="000A01B1" w:rsidRDefault="000A01B1" w:rsidP="00695FC3">
            <w:pPr>
              <w:jc w:val="both"/>
              <w:rPr>
                <w:u w:val="single"/>
              </w:rPr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>
              <w:t>;</w:t>
            </w:r>
          </w:p>
          <w:p w:rsidR="000F021D" w:rsidRDefault="006F0BA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</w:p>
          <w:p w:rsidR="001A2D7E" w:rsidRPr="007E68B4" w:rsidRDefault="001A2D7E" w:rsidP="001A2D7E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</w:t>
            </w:r>
            <w:r w:rsidRPr="004D219C">
              <w:lastRenderedPageBreak/>
              <w:t xml:space="preserve">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 xml:space="preserve">ATERIALI: </w:t>
            </w:r>
            <w:r w:rsidR="006F0BA4">
              <w:t>i giocattoli nautici</w:t>
            </w:r>
            <w:r w:rsidR="00E4255D">
              <w:t xml:space="preserve"> devono essere privi di bordi taglienti, punte e parti sporgenti in grado di arrecare danno all’utilizzatore</w:t>
            </w:r>
            <w:r w:rsidR="002C7C57">
              <w:t>,</w:t>
            </w:r>
            <w:r w:rsidR="00E4255D">
              <w:t xml:space="preserve"> devono inoltre essere esenti da alterazioni quali</w:t>
            </w:r>
            <w:r w:rsidR="002C7C57">
              <w:t xml:space="preserve"> fori, crepe, strappi, alterazioni del colore e simili difetti</w:t>
            </w:r>
            <w:r w:rsidR="00E4255D">
              <w:t xml:space="preserve">. La loro presenza è da individuare </w:t>
            </w:r>
            <w:r w:rsidR="002C7C57">
              <w:t>come una non conformità del prodotto di cui deve essere impedita la commercializzazione.</w:t>
            </w:r>
          </w:p>
          <w:p w:rsidR="002D6A65" w:rsidRDefault="002D6A65" w:rsidP="002D6A65">
            <w:pPr>
              <w:pStyle w:val="Paragrafoelenco"/>
              <w:autoSpaceDE w:val="0"/>
              <w:autoSpaceDN w:val="0"/>
              <w:adjustRightInd w:val="0"/>
              <w:jc w:val="both"/>
            </w:pPr>
            <w:r>
              <w:t xml:space="preserve">In particolare </w:t>
            </w:r>
            <w:r w:rsidR="001A2D7E">
              <w:t>ne</w:t>
            </w:r>
            <w:r>
              <w:t>i giocattoli nautici gonfiabili</w:t>
            </w:r>
            <w:r w:rsidR="001A2D7E">
              <w:t>, tutte le aperture d’aria previste per il gonfiaggio devono essere dotate di tappi fissati in modo permanente al giocattolo</w:t>
            </w:r>
            <w:r w:rsidR="00297EA5">
              <w:t xml:space="preserve"> e alla loro chiusura non devono sporgere per più di 5mm dalla superficie del giocattolo gonfiato.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B83E4F" w:rsidRDefault="00B83E4F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770DFD" w:rsidRDefault="008246D3" w:rsidP="00BD7C49">
            <w:pPr>
              <w:jc w:val="both"/>
            </w:pPr>
            <w:r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010385" w:rsidRDefault="00010385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C43E63" w:rsidRDefault="00297EA5" w:rsidP="00F13245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297EA5" w:rsidRDefault="00297EA5" w:rsidP="00297EA5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1F7EC2" w:rsidRDefault="001F7EC2" w:rsidP="001F7EC2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71-3:2021 “Sicurezza dei giocattoli – parte 3: Migrazione di alcuni elementi”</w:t>
            </w:r>
          </w:p>
          <w:p w:rsidR="00010385" w:rsidRPr="00010385" w:rsidRDefault="00010385" w:rsidP="001F7EC2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Pr="00010385">
              <w:rPr>
                <w:b/>
              </w:rPr>
              <w:t>EN 71-12:2017 –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  <w:p w:rsidR="00F13245" w:rsidRPr="001F7EC2" w:rsidRDefault="001F7EC2" w:rsidP="001F7EC2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ISO 25649-3 “Articoli galleggianti per il tempo libero per l’utilizzo su e in acqua – parte 3: requisiti aggiuntivi specifici di sicurezza e metodi di prova per i dispositivi di classe A”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D720EB" w:rsidP="00CF4B55">
            <w:pPr>
              <w:ind w:left="35"/>
              <w:jc w:val="both"/>
              <w:rPr>
                <w:b/>
              </w:rPr>
            </w:pPr>
            <w:hyperlink r:id="rId15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</w:t>
              </w:r>
              <w:r w:rsidR="00802B0F" w:rsidRPr="00DE5149">
                <w:rPr>
                  <w:rStyle w:val="Collegamentoipertestuale"/>
                  <w:b/>
                </w:rPr>
                <w:lastRenderedPageBreak/>
                <w:t>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lastRenderedPageBreak/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10385"/>
    <w:rsid w:val="000259D6"/>
    <w:rsid w:val="000347F2"/>
    <w:rsid w:val="00046B05"/>
    <w:rsid w:val="00052AEA"/>
    <w:rsid w:val="00064BDA"/>
    <w:rsid w:val="000670D1"/>
    <w:rsid w:val="00067C49"/>
    <w:rsid w:val="0007490D"/>
    <w:rsid w:val="000759AA"/>
    <w:rsid w:val="00076459"/>
    <w:rsid w:val="000A01B1"/>
    <w:rsid w:val="000A6908"/>
    <w:rsid w:val="000B2323"/>
    <w:rsid w:val="000B24F0"/>
    <w:rsid w:val="000E6D6E"/>
    <w:rsid w:val="000F021D"/>
    <w:rsid w:val="001118F3"/>
    <w:rsid w:val="0011493D"/>
    <w:rsid w:val="00115429"/>
    <w:rsid w:val="00122A0E"/>
    <w:rsid w:val="0012668B"/>
    <w:rsid w:val="00126C62"/>
    <w:rsid w:val="001605A5"/>
    <w:rsid w:val="00167FA6"/>
    <w:rsid w:val="00175BD5"/>
    <w:rsid w:val="00180B41"/>
    <w:rsid w:val="001A2D7E"/>
    <w:rsid w:val="001A76D5"/>
    <w:rsid w:val="001B710B"/>
    <w:rsid w:val="001C1ECA"/>
    <w:rsid w:val="001D0C2B"/>
    <w:rsid w:val="001E733C"/>
    <w:rsid w:val="001F7EC2"/>
    <w:rsid w:val="00200CCB"/>
    <w:rsid w:val="00202B97"/>
    <w:rsid w:val="00213A07"/>
    <w:rsid w:val="002160EA"/>
    <w:rsid w:val="00236C55"/>
    <w:rsid w:val="002439B3"/>
    <w:rsid w:val="002607E3"/>
    <w:rsid w:val="002635EB"/>
    <w:rsid w:val="00272345"/>
    <w:rsid w:val="002843ED"/>
    <w:rsid w:val="0029037C"/>
    <w:rsid w:val="00294A11"/>
    <w:rsid w:val="00297EA5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60B05"/>
    <w:rsid w:val="0036107B"/>
    <w:rsid w:val="003728E3"/>
    <w:rsid w:val="00381113"/>
    <w:rsid w:val="003B1E06"/>
    <w:rsid w:val="003B48F5"/>
    <w:rsid w:val="003B6537"/>
    <w:rsid w:val="003C018F"/>
    <w:rsid w:val="003C6011"/>
    <w:rsid w:val="003C702E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43E3E"/>
    <w:rsid w:val="00456613"/>
    <w:rsid w:val="0046515B"/>
    <w:rsid w:val="0049334B"/>
    <w:rsid w:val="00494711"/>
    <w:rsid w:val="004A20A2"/>
    <w:rsid w:val="004A4960"/>
    <w:rsid w:val="004B5DB3"/>
    <w:rsid w:val="004D1159"/>
    <w:rsid w:val="004D219C"/>
    <w:rsid w:val="00506D86"/>
    <w:rsid w:val="0052084E"/>
    <w:rsid w:val="00520D19"/>
    <w:rsid w:val="0054430E"/>
    <w:rsid w:val="0055798B"/>
    <w:rsid w:val="00575E2E"/>
    <w:rsid w:val="00585A94"/>
    <w:rsid w:val="005900CE"/>
    <w:rsid w:val="005C1391"/>
    <w:rsid w:val="005E4424"/>
    <w:rsid w:val="005F3865"/>
    <w:rsid w:val="005F6EF7"/>
    <w:rsid w:val="00600ED0"/>
    <w:rsid w:val="006234E9"/>
    <w:rsid w:val="00624ECA"/>
    <w:rsid w:val="006254B7"/>
    <w:rsid w:val="00644E2C"/>
    <w:rsid w:val="006650C4"/>
    <w:rsid w:val="00695593"/>
    <w:rsid w:val="00695FC3"/>
    <w:rsid w:val="006B49F5"/>
    <w:rsid w:val="006B5728"/>
    <w:rsid w:val="006C3FD4"/>
    <w:rsid w:val="006D4C5A"/>
    <w:rsid w:val="006D500D"/>
    <w:rsid w:val="006F0BA4"/>
    <w:rsid w:val="00700C34"/>
    <w:rsid w:val="00701375"/>
    <w:rsid w:val="007032B6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B04E7"/>
    <w:rsid w:val="007C46A8"/>
    <w:rsid w:val="007D2794"/>
    <w:rsid w:val="007D5E32"/>
    <w:rsid w:val="007E330D"/>
    <w:rsid w:val="007E68B4"/>
    <w:rsid w:val="00802B0F"/>
    <w:rsid w:val="00804649"/>
    <w:rsid w:val="008100A8"/>
    <w:rsid w:val="008110F4"/>
    <w:rsid w:val="008161AD"/>
    <w:rsid w:val="00817606"/>
    <w:rsid w:val="008246D3"/>
    <w:rsid w:val="00824B41"/>
    <w:rsid w:val="00827CF2"/>
    <w:rsid w:val="00830564"/>
    <w:rsid w:val="00856AE1"/>
    <w:rsid w:val="00861139"/>
    <w:rsid w:val="00864669"/>
    <w:rsid w:val="008746FA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4C83"/>
    <w:rsid w:val="00930BB0"/>
    <w:rsid w:val="00933C19"/>
    <w:rsid w:val="00933CD4"/>
    <w:rsid w:val="00941FEA"/>
    <w:rsid w:val="00964C0E"/>
    <w:rsid w:val="009704C7"/>
    <w:rsid w:val="009A0C5F"/>
    <w:rsid w:val="009A4E18"/>
    <w:rsid w:val="009C0A74"/>
    <w:rsid w:val="009C3FFC"/>
    <w:rsid w:val="009D6977"/>
    <w:rsid w:val="009E3DB2"/>
    <w:rsid w:val="009E612E"/>
    <w:rsid w:val="009F543C"/>
    <w:rsid w:val="00A003D2"/>
    <w:rsid w:val="00A0693F"/>
    <w:rsid w:val="00A118F8"/>
    <w:rsid w:val="00A11DFE"/>
    <w:rsid w:val="00A2415D"/>
    <w:rsid w:val="00A26185"/>
    <w:rsid w:val="00A30EF1"/>
    <w:rsid w:val="00A31821"/>
    <w:rsid w:val="00A65C79"/>
    <w:rsid w:val="00A6763E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1C7B"/>
    <w:rsid w:val="00BC05E8"/>
    <w:rsid w:val="00BD7C49"/>
    <w:rsid w:val="00BE7ED7"/>
    <w:rsid w:val="00C146BA"/>
    <w:rsid w:val="00C200E1"/>
    <w:rsid w:val="00C25C49"/>
    <w:rsid w:val="00C37B51"/>
    <w:rsid w:val="00C43E63"/>
    <w:rsid w:val="00C55A77"/>
    <w:rsid w:val="00C711BF"/>
    <w:rsid w:val="00C8149A"/>
    <w:rsid w:val="00C9636F"/>
    <w:rsid w:val="00CA4860"/>
    <w:rsid w:val="00CB0C52"/>
    <w:rsid w:val="00CB775D"/>
    <w:rsid w:val="00CC3FC4"/>
    <w:rsid w:val="00CE25C4"/>
    <w:rsid w:val="00CF4B55"/>
    <w:rsid w:val="00D014CD"/>
    <w:rsid w:val="00D116E8"/>
    <w:rsid w:val="00D14B4E"/>
    <w:rsid w:val="00D15188"/>
    <w:rsid w:val="00D31113"/>
    <w:rsid w:val="00D526C4"/>
    <w:rsid w:val="00D62429"/>
    <w:rsid w:val="00D720EB"/>
    <w:rsid w:val="00D814BC"/>
    <w:rsid w:val="00D95470"/>
    <w:rsid w:val="00DA4672"/>
    <w:rsid w:val="00DB1BC9"/>
    <w:rsid w:val="00DD287B"/>
    <w:rsid w:val="00DD54C6"/>
    <w:rsid w:val="00DE021D"/>
    <w:rsid w:val="00DE26D6"/>
    <w:rsid w:val="00DE3D31"/>
    <w:rsid w:val="00DF260E"/>
    <w:rsid w:val="00E27451"/>
    <w:rsid w:val="00E37FBF"/>
    <w:rsid w:val="00E4255D"/>
    <w:rsid w:val="00E54A78"/>
    <w:rsid w:val="00E5774A"/>
    <w:rsid w:val="00E66D16"/>
    <w:rsid w:val="00E67762"/>
    <w:rsid w:val="00E8023F"/>
    <w:rsid w:val="00E95F11"/>
    <w:rsid w:val="00EB3D9D"/>
    <w:rsid w:val="00EC1BCF"/>
    <w:rsid w:val="00EC2B35"/>
    <w:rsid w:val="00EC2DA6"/>
    <w:rsid w:val="00EC3CC9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4880-4276-48DB-8A1D-BBE20710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12</cp:revision>
  <dcterms:created xsi:type="dcterms:W3CDTF">2023-01-31T12:00:00Z</dcterms:created>
  <dcterms:modified xsi:type="dcterms:W3CDTF">2023-02-15T07:53:00Z</dcterms:modified>
</cp:coreProperties>
</file>