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604385" w:rsidP="009105A1">
            <w:pPr>
              <w:jc w:val="both"/>
            </w:pPr>
            <w:r>
              <w:t>Apparecchi per riscaldare liquidi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60438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525EF42E" wp14:editId="1FCA6D6B">
                  <wp:simplePos x="0" y="0"/>
                  <wp:positionH relativeFrom="column">
                    <wp:posOffset>4085318</wp:posOffset>
                  </wp:positionH>
                  <wp:positionV relativeFrom="paragraph">
                    <wp:posOffset>66675</wp:posOffset>
                  </wp:positionV>
                  <wp:extent cx="1677670" cy="2108835"/>
                  <wp:effectExtent l="0" t="0" r="0" b="571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293C826D" wp14:editId="11645D60">
                  <wp:simplePos x="0" y="0"/>
                  <wp:positionH relativeFrom="column">
                    <wp:posOffset>54125</wp:posOffset>
                  </wp:positionH>
                  <wp:positionV relativeFrom="paragraph">
                    <wp:posOffset>114300</wp:posOffset>
                  </wp:positionV>
                  <wp:extent cx="1670018" cy="1828800"/>
                  <wp:effectExtent l="0" t="0" r="698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28" cy="183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60438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2A9A95B9" wp14:editId="076E9A33">
                  <wp:simplePos x="0" y="0"/>
                  <wp:positionH relativeFrom="column">
                    <wp:posOffset>6068060</wp:posOffset>
                  </wp:positionH>
                  <wp:positionV relativeFrom="paragraph">
                    <wp:posOffset>116840</wp:posOffset>
                  </wp:positionV>
                  <wp:extent cx="1270000" cy="1755775"/>
                  <wp:effectExtent l="0" t="0" r="635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litore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60438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71436748" wp14:editId="41DE2207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153670</wp:posOffset>
                  </wp:positionV>
                  <wp:extent cx="2177415" cy="145097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F70E1F" w:rsidP="00DE26D6">
            <w:pPr>
              <w:jc w:val="both"/>
            </w:pPr>
            <w:r>
              <w:t>A</w:t>
            </w:r>
            <w:r w:rsidRPr="00F70E1F">
              <w:t>pparecchi elettrici per riscaldare liquidi</w:t>
            </w:r>
            <w:r w:rsidR="002A5D34">
              <w:t>,</w:t>
            </w:r>
            <w:r w:rsidRPr="00F70E1F">
              <w:t xml:space="preserve"> per uso domestico e similare, con una tensione nominale non superiore a 250 V</w:t>
            </w:r>
            <w:r>
              <w:t xml:space="preserve">. Ne sono un esempio (non esaustivo): bollitori, </w:t>
            </w:r>
            <w:r w:rsidR="007B2E81">
              <w:t>macchine da caffè, scalda</w:t>
            </w:r>
            <w:r w:rsidR="005B1BE1">
              <w:t xml:space="preserve"> </w:t>
            </w:r>
            <w:r w:rsidR="007B2E81">
              <w:t>biberon, apparecchi per la cottura a vapore, yogurtiere.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5A3B2636" wp14:editId="2A35D569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6E48F748" wp14:editId="004372B5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6B49F5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potenza nominale</w:t>
            </w:r>
            <w:r w:rsidR="00520D19">
              <w:t xml:space="preserve"> assorbita, espressa in watt (W)</w:t>
            </w:r>
            <w:r w:rsidR="003E6B76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36942C72" wp14:editId="6D79EF13">
                  <wp:simplePos x="0" y="0"/>
                  <wp:positionH relativeFrom="column">
                    <wp:posOffset>2655098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9D59613" wp14:editId="11EB3F95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-13970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         )</w:t>
            </w:r>
            <w:r w:rsidR="00781C86">
              <w:t xml:space="preserve"> ove l’alimentazione provenga da un sistema a bassissima tensione di sicurezza (tensione inferiore a 42 V tra i conduttori o tra i conduttori e la terra)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</w:p>
          <w:p w:rsidR="00695FC3" w:rsidRDefault="00695FC3" w:rsidP="00695FC3">
            <w:pPr>
              <w:jc w:val="both"/>
            </w:pPr>
          </w:p>
          <w:p w:rsidR="00331F6C" w:rsidRDefault="00331F6C" w:rsidP="00F44863">
            <w:pPr>
              <w:jc w:val="both"/>
            </w:pPr>
            <w:r>
              <w:t xml:space="preserve">Nel caso specifico </w:t>
            </w:r>
            <w:r w:rsidR="00E60F7B">
              <w:t>di apparecchi senza cavo,</w:t>
            </w:r>
            <w:r w:rsidR="00F44863">
              <w:t xml:space="preserve"> dotati di </w:t>
            </w:r>
            <w:r w:rsidR="00E60F7B">
              <w:t xml:space="preserve">supporto di alimentazione separato, </w:t>
            </w:r>
            <w:r w:rsidR="00F44863">
              <w:t>tale accessorio deve riportare: n</w:t>
            </w:r>
            <w:r w:rsidR="00F44863" w:rsidRPr="00F44863">
              <w:t>ome, marchio o marca di identificazione del produttore o</w:t>
            </w:r>
            <w:r w:rsidR="00F44863">
              <w:t xml:space="preserve"> del venditore responsabile; nonché il </w:t>
            </w:r>
            <w:r w:rsidR="00F44863" w:rsidRPr="00F44863">
              <w:t xml:space="preserve">modello o </w:t>
            </w:r>
            <w:r w:rsidR="00F44863">
              <w:t xml:space="preserve">il </w:t>
            </w:r>
            <w:r w:rsidR="00E60F7B">
              <w:t>riferimento del tipo</w:t>
            </w:r>
            <w:r w:rsidR="00F44863" w:rsidRPr="00F44863">
              <w:t>.</w:t>
            </w:r>
          </w:p>
          <w:p w:rsidR="00331F6C" w:rsidRDefault="00F44863" w:rsidP="00695FC3">
            <w:pPr>
              <w:jc w:val="both"/>
            </w:pPr>
            <w:r>
              <w:t>Per i ferri da stiro senza cordone di alimentazione</w:t>
            </w:r>
            <w:r w:rsidR="00EE1542">
              <w:t>, i relativi</w:t>
            </w:r>
            <w:r w:rsidR="00CB775D">
              <w:t xml:space="preserve"> appoggiaferro</w:t>
            </w:r>
            <w:r w:rsidR="00EE1542">
              <w:t xml:space="preserve"> </w:t>
            </w:r>
            <w:r w:rsidR="00EE1542" w:rsidRPr="00EE1542">
              <w:t>devo</w:t>
            </w:r>
            <w:r w:rsidR="00EE1542">
              <w:t>no essere marcati con la loro</w:t>
            </w:r>
            <w:r w:rsidR="00EE1542" w:rsidRPr="00EE1542">
              <w:t xml:space="preserve"> tensione nominale </w:t>
            </w:r>
            <w:r w:rsidR="00EE1542">
              <w:t>(</w:t>
            </w:r>
            <w:r w:rsidR="00EE1542" w:rsidRPr="00EE1542">
              <w:t>oppure campo di tensione nominale</w:t>
            </w:r>
            <w:r w:rsidR="00EE1542">
              <w:t xml:space="preserve">) e </w:t>
            </w:r>
            <w:r w:rsidR="00EE1542" w:rsidRPr="00EE1542">
              <w:t>potenza nominale assorbita.</w:t>
            </w:r>
          </w:p>
          <w:p w:rsidR="00BA5289" w:rsidRDefault="008A0296" w:rsidP="008A0296">
            <w:pPr>
              <w:spacing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05ED53F9" wp14:editId="7CBB3019">
                  <wp:simplePos x="0" y="0"/>
                  <wp:positionH relativeFrom="column">
                    <wp:posOffset>3844018</wp:posOffset>
                  </wp:positionH>
                  <wp:positionV relativeFrom="paragraph">
                    <wp:posOffset>200581</wp:posOffset>
                  </wp:positionV>
                  <wp:extent cx="434340" cy="390525"/>
                  <wp:effectExtent l="0" t="0" r="3810" b="952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. Cald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E32">
              <w:t>Ove siano presenti superfici non funziona</w:t>
            </w:r>
            <w:r w:rsidR="00A72F8A">
              <w:t>li che raggiungono sovratemperature</w:t>
            </w:r>
            <w:r w:rsidR="007D5E32">
              <w:t xml:space="preserve"> </w:t>
            </w:r>
            <w:r w:rsidR="00A72F8A">
              <w:t xml:space="preserve">elevate, è necessario che tali superfici siano marcate </w:t>
            </w:r>
            <w:r>
              <w:t xml:space="preserve">in maniera visibile durante il normale funzionamento con il simbolo          </w:t>
            </w:r>
            <w:r w:rsidR="008161AD">
              <w:t xml:space="preserve">    </w:t>
            </w:r>
            <w:r>
              <w:t xml:space="preserve"> </w:t>
            </w:r>
            <w:r w:rsidR="00491364">
              <w:t xml:space="preserve">e l’avvertenza </w:t>
            </w:r>
            <w:r w:rsidR="008161AD">
              <w:t>“</w:t>
            </w:r>
            <w:r w:rsidR="00A72F8A">
              <w:t>ATTENZIONE:</w:t>
            </w:r>
            <w:r w:rsidR="008161AD">
              <w:rPr>
                <w:sz w:val="20"/>
              </w:rPr>
              <w:t xml:space="preserve"> Superficie c</w:t>
            </w:r>
            <w:r w:rsidR="00491364">
              <w:rPr>
                <w:sz w:val="20"/>
              </w:rPr>
              <w:t>he scotta</w:t>
            </w:r>
            <w:r w:rsidR="008161AD">
              <w:rPr>
                <w:sz w:val="20"/>
              </w:rPr>
              <w:t>”</w:t>
            </w:r>
          </w:p>
          <w:p w:rsidR="00BA06BB" w:rsidRDefault="00BA06BB" w:rsidP="00695FC3">
            <w:pPr>
              <w:jc w:val="both"/>
            </w:pPr>
            <w:r>
              <w:t xml:space="preserve">I bollitori </w:t>
            </w:r>
            <w:r w:rsidRPr="00BA06BB">
              <w:t xml:space="preserve">devono avere un’indicazione del livello o essere muniti di un altro mezzo che indichi quando sono riempiti alla loro </w:t>
            </w:r>
            <w:r w:rsidRPr="00BA06BB">
              <w:lastRenderedPageBreak/>
              <w:t>capacità nominale, a meno che essi non</w:t>
            </w:r>
            <w:r>
              <w:t xml:space="preserve"> possano essere riempiti oltre la capacità nominale. Tale indicazione deve essere visibile quando il</w:t>
            </w:r>
            <w:r w:rsidRPr="00BA06BB">
              <w:t xml:space="preserve"> bollitore</w:t>
            </w:r>
            <w:r>
              <w:t xml:space="preserve"> è</w:t>
            </w:r>
            <w:r w:rsidRPr="00BA06BB">
              <w:t xml:space="preserve"> in posizione di riempimento. Se l’indicazione di livello non è evidente, deve esserci all’esterno del bollitore un riferimento a questa indicazione, visibile quando il bollitore è nella sua normale posizione d’uso</w:t>
            </w:r>
            <w:r>
              <w:t>.</w:t>
            </w:r>
          </w:p>
          <w:p w:rsidR="00BA06BB" w:rsidRDefault="00BA06BB" w:rsidP="00695FC3">
            <w:pPr>
              <w:jc w:val="both"/>
            </w:pPr>
            <w:r w:rsidRPr="00BA06BB">
              <w:t>Gli apparecchi destinati a essere parzialmente immersi in acqua per la pulizia devono essere contrassegnati</w:t>
            </w:r>
            <w:r>
              <w:t xml:space="preserve"> con una linea che indichi la massima profondità di immersione con </w:t>
            </w:r>
            <w:r w:rsidRPr="00BA06BB">
              <w:t>una avvertenza che abbia il seguente significato: Non immergere oltre questa linea</w:t>
            </w:r>
          </w:p>
          <w:p w:rsidR="00BA06BB" w:rsidRDefault="0003248C" w:rsidP="00695FC3">
            <w:pPr>
              <w:jc w:val="both"/>
            </w:pPr>
            <w:r>
              <w:t xml:space="preserve">Deve essere presente un </w:t>
            </w:r>
            <w:r w:rsidRPr="0003248C">
              <w:t>interruttore ACCESO/SPENTO</w:t>
            </w:r>
            <w:r>
              <w:t>, che consenta di arrestare le funzioni operative. La messa in funzione del dispositivo deve risultare evidente mediante un riscontro tattile (distinzione della posizione del pulsante in on e off</w:t>
            </w:r>
            <w:r w:rsidR="00AC788D">
              <w:t>)</w:t>
            </w:r>
            <w:r>
              <w:t xml:space="preserve"> oppure un riscontro sonoro o visivo</w:t>
            </w:r>
            <w:r w:rsidR="00AC788D">
              <w:t xml:space="preserve"> (rumore di un motore in movimento o spia luminosa).</w:t>
            </w:r>
          </w:p>
          <w:p w:rsidR="00AC788D" w:rsidRDefault="00AC788D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8A0296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="00AC6EDC" w:rsidRPr="00AC6EDC">
              <w:t>’apparecchio può essere utilizzato da bambini di età non infer</w:t>
            </w:r>
            <w:r w:rsidR="00624ECA">
              <w:t xml:space="preserve">iore a 8 anni e da persone con ridotte capacità fisiche, </w:t>
            </w:r>
            <w:r w:rsidR="00AC6EDC" w:rsidRPr="00AC6EDC">
              <w:t>sensoriali</w:t>
            </w:r>
            <w:r w:rsidR="00624ECA">
              <w:t xml:space="preserve"> o </w:t>
            </w:r>
            <w:r w:rsidR="00AC6EDC" w:rsidRPr="00AC6EDC">
              <w:t>m</w:t>
            </w:r>
            <w:r w:rsidR="00624ECA">
              <w:t>entali, o prive di esperienza o della</w:t>
            </w:r>
            <w:r w:rsidR="00AC6EDC"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="00AC6EDC" w:rsidRPr="00AC6EDC">
              <w:t xml:space="preserve">sicuro </w:t>
            </w:r>
            <w:r w:rsidR="00624ECA">
              <w:t>dell’apparecchio e alla comprensione dei p</w:t>
            </w:r>
            <w:r w:rsidR="00AC6EDC" w:rsidRPr="00AC6EDC">
              <w:t xml:space="preserve">ericoli </w:t>
            </w:r>
            <w:r w:rsidR="00624ECA">
              <w:t>ad e</w:t>
            </w:r>
            <w:r w:rsidR="00AC6EDC"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="00AC6EDC" w:rsidRPr="00AC6EDC">
              <w:t>essere effettuata dall’utilizzatore non deve essere effettuat</w:t>
            </w:r>
            <w:r w:rsidR="00F55422">
              <w:t>a da bambini senza sorveglianza;</w:t>
            </w:r>
          </w:p>
          <w:p w:rsidR="00BA5289" w:rsidRDefault="00F5369D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nel caso specifico di scalda</w:t>
            </w:r>
            <w:r w:rsidR="005B1BE1">
              <w:t xml:space="preserve"> </w:t>
            </w:r>
            <w:r>
              <w:t>biberon e yogurtiere nelle istruzioni può essere indicato il limite, riportato nel punto precedente, a 3 anni anziché 8</w:t>
            </w:r>
            <w:r w:rsidR="00BA5289" w:rsidRPr="00BA5289">
              <w:t>;</w:t>
            </w:r>
          </w:p>
          <w:p w:rsidR="00F5369D" w:rsidRDefault="00F5369D" w:rsidP="00F5369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nel caso specifico di apparecchi per la cottura a pressione, gli scalda</w:t>
            </w:r>
            <w:r w:rsidR="005B1BE1">
              <w:t xml:space="preserve"> </w:t>
            </w:r>
            <w:r>
              <w:t>colla a bagnomaria o gli sterilizzatori, le avvertenze del primo punto sono sostituite da ”</w:t>
            </w:r>
            <w:r w:rsidRPr="00F5369D">
              <w:t>Questo apparecchio non deve essere utilizzato dai bambini. Tenere l’apparecchio e il relativo cavo fuori dalla portata dei bambini</w:t>
            </w:r>
            <w:r w:rsidR="00760078">
              <w:t>”</w:t>
            </w:r>
            <w:r w:rsidR="00F55422">
              <w:t>;</w:t>
            </w:r>
          </w:p>
          <w:p w:rsidR="00F55422" w:rsidRDefault="00760078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lastRenderedPageBreak/>
              <w:t>deve essere indicato che l’</w:t>
            </w:r>
            <w:r w:rsidRPr="00760078">
              <w:t>apparecchio è destinato a essere utilizzato in applicazioni do</w:t>
            </w:r>
            <w:r>
              <w:t xml:space="preserve">mestiche e similari, quali: </w:t>
            </w:r>
            <w:r w:rsidRPr="00760078">
              <w:t>nelle zone per cucinare riservate al personale nei negozi, negli uffici e in al</w:t>
            </w:r>
            <w:r>
              <w:t>tri ambienti professionali; nelle fattorie;</w:t>
            </w:r>
            <w:r w:rsidRPr="00760078">
              <w:t xml:space="preserve"> da parte di clienti di alberghi, motel e altri ambient</w:t>
            </w:r>
            <w:r w:rsidR="006E5BB1">
              <w:t xml:space="preserve">i a carattere residenziale; </w:t>
            </w:r>
            <w:r w:rsidRPr="00760078">
              <w:t>nei bed and breakfast. Se il produttore intende limitare gli utilizzi dell’apparecchio rispetto a quelli di cui sopra, deve indicar</w:t>
            </w:r>
            <w:r w:rsidR="00F55422">
              <w:t>lo chiaramente nelle istruzioni;</w:t>
            </w:r>
            <w:r w:rsidRPr="00760078">
              <w:t xml:space="preserve"> </w:t>
            </w:r>
          </w:p>
          <w:p w:rsidR="00F55422" w:rsidRDefault="00F55422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6E5BB1">
              <w:t xml:space="preserve">un avvertimento per evitare la tracimazione </w:t>
            </w:r>
            <w:r>
              <w:t xml:space="preserve">del contenuto dell’apparecchio </w:t>
            </w:r>
            <w:r w:rsidRPr="006E5BB1">
              <w:t>sul connettore</w:t>
            </w:r>
            <w:r>
              <w:t>;</w:t>
            </w:r>
            <w:r w:rsidRPr="006E5BB1">
              <w:t xml:space="preserve"> </w:t>
            </w:r>
          </w:p>
          <w:p w:rsidR="00F55422" w:rsidRDefault="00F55422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i</w:t>
            </w:r>
            <w:r w:rsidRPr="006E5BB1">
              <w:t xml:space="preserve"> dettagli su come pulire le superfici a contatto con il cibo</w:t>
            </w:r>
            <w:r>
              <w:t>;</w:t>
            </w:r>
          </w:p>
          <w:p w:rsidR="00F55422" w:rsidRDefault="00F55422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6E5BB1">
              <w:t>un avvertimento sui potenziali danni derivanti da uso improprio</w:t>
            </w:r>
            <w:r>
              <w:t>;</w:t>
            </w:r>
          </w:p>
          <w:p w:rsidR="006E5BB1" w:rsidRDefault="00F55422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6E5BB1">
              <w:t>l’informazione che la superficie dell’elemento riscaldante è soggetto a residui di calore dopo l’uso</w:t>
            </w:r>
            <w:r>
              <w:t>;</w:t>
            </w:r>
          </w:p>
          <w:p w:rsidR="006E5BB1" w:rsidRDefault="006E5BB1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le istruzioni per l’uso degli apparecchi muniti di spina di connettore e destinati a </w:t>
            </w:r>
            <w:r w:rsidR="00760078" w:rsidRPr="00760078">
              <w:t>essere parzialmente o completamente immersi in acqua per la pulizia, devono indicare che la spina di connettore deve essere asciugata prima che l’appare</w:t>
            </w:r>
            <w:r w:rsidR="008C5F7B">
              <w:t>cchio sia nuovamente utilizzato;</w:t>
            </w:r>
          </w:p>
          <w:p w:rsidR="00B7640C" w:rsidRDefault="006E5BB1" w:rsidP="007600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le istruzioni per l’uso degli apparecchi abitualmente puliti </w:t>
            </w:r>
            <w:r w:rsidR="00760078" w:rsidRPr="00760078">
              <w:t>dopo l’utilizzo e che non sono destinati a essere immersi nell’acqua per la pulizia, devono stabilire che l’apparecchio non deve essere immerso. Tale prescrizione si applica normalmente alle macchine per caffè, padelle per cottura, scalda</w:t>
            </w:r>
            <w:r w:rsidR="00515996">
              <w:t xml:space="preserve"> </w:t>
            </w:r>
            <w:r w:rsidR="00760078" w:rsidRPr="00760078">
              <w:t>latte, pentole per cottura a pressione, apparecchi per cottura a vapore, pentole per cottura a fuoco lento, macc</w:t>
            </w:r>
            <w:r>
              <w:t>hine per il latte di soia e yog</w:t>
            </w:r>
            <w:r w:rsidR="008C5F7B">
              <w:t>urtiere;</w:t>
            </w:r>
          </w:p>
          <w:p w:rsidR="006E5BB1" w:rsidRDefault="006E5BB1" w:rsidP="006E5BB1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a</w:t>
            </w:r>
            <w:r w:rsidRPr="006E5BB1">
              <w:t xml:space="preserve"> meno che i </w:t>
            </w:r>
            <w:r w:rsidRPr="006E5BB1">
              <w:rPr>
                <w:b/>
              </w:rPr>
              <w:t>bollitori</w:t>
            </w:r>
            <w:r w:rsidRPr="006E5BB1">
              <w:t xml:space="preserve"> siano costruiti in modo tal per cui nessun danno pos</w:t>
            </w:r>
            <w:r>
              <w:t xml:space="preserve">sa derivare dalla tracimazione di acqua bollente, le istruzioni per l’uso </w:t>
            </w:r>
            <w:r w:rsidRPr="006E5BB1">
              <w:t>devono indicare che se si riempie eccessivamente il bollitore, può esserci</w:t>
            </w:r>
            <w:r w:rsidR="008C5F7B">
              <w:t xml:space="preserve"> tracimazione di acqua bollente;</w:t>
            </w:r>
          </w:p>
          <w:p w:rsidR="006E5BB1" w:rsidRDefault="006E5BB1" w:rsidP="006E5BB1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Pr="006E5BB1">
              <w:t xml:space="preserve">e istruzioni per l’uso dei </w:t>
            </w:r>
            <w:r w:rsidRPr="006E5BB1">
              <w:rPr>
                <w:b/>
              </w:rPr>
              <w:t>bollitori</w:t>
            </w:r>
            <w:r w:rsidRPr="006E5BB1">
              <w:t xml:space="preserve"> riempiti attraverso un coperchio di apertura che è situato sotto l’impugnatura devono compre</w:t>
            </w:r>
            <w:r>
              <w:t xml:space="preserve">ndere la seguente avvertenza: </w:t>
            </w:r>
            <w:r w:rsidRPr="006E5BB1">
              <w:t>AVVERTENZA:  Non rimuovere il coperchio mentre l’acqua sta bollendo.</w:t>
            </w:r>
            <w:r>
              <w:t xml:space="preserve">. Ove il coperchio non possa essere </w:t>
            </w:r>
            <w:r w:rsidRPr="006E5BB1">
              <w:t xml:space="preserve">chiuso </w:t>
            </w:r>
            <w:r>
              <w:t>solamente in modo che il vapore venga</w:t>
            </w:r>
            <w:r w:rsidRPr="006E5BB1">
              <w:t xml:space="preserve"> di</w:t>
            </w:r>
            <w:r>
              <w:t>retto lontano dall’impugnatura</w:t>
            </w:r>
            <w:r w:rsidR="00BE41BF">
              <w:t xml:space="preserve"> deve essere presente l’avvertenza:</w:t>
            </w:r>
            <w:r w:rsidR="00BE41BF" w:rsidRPr="006E5BB1">
              <w:t xml:space="preserve"> ATTENZIONE:  Posizionare il coperchio in modo che il vapore non veng</w:t>
            </w:r>
            <w:r w:rsidR="00BE41BF">
              <w:t>a diretto verso l’impugnatura</w:t>
            </w:r>
            <w:r w:rsidR="008C5F7B">
              <w:t>;</w:t>
            </w:r>
          </w:p>
          <w:p w:rsidR="00BE41BF" w:rsidRDefault="006E5BB1" w:rsidP="00BE41BF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Pr="006E5BB1">
              <w:t xml:space="preserve">e istruzioni relative agli </w:t>
            </w:r>
            <w:r w:rsidRPr="006E5BB1">
              <w:rPr>
                <w:b/>
              </w:rPr>
              <w:t>apparecchi senza cordone di alimentazione</w:t>
            </w:r>
            <w:r w:rsidRPr="006E5BB1">
              <w:t xml:space="preserve"> devono stabilire che l’apparecchio può essere utilizzato solam</w:t>
            </w:r>
            <w:r w:rsidR="00BE41BF">
              <w:t xml:space="preserve">ente con il supporto previsto. Se l’apparecchio senza cordone di alimentazione e relativo sostegno possono </w:t>
            </w:r>
            <w:r w:rsidRPr="006E5BB1">
              <w:t>e</w:t>
            </w:r>
            <w:r w:rsidR="00BE41BF">
              <w:t xml:space="preserve">ssere sollevati insieme afferrando l’impugnatura dell’apparecchio, le istruzioni devono </w:t>
            </w:r>
            <w:r w:rsidRPr="006E5BB1">
              <w:t>indicar</w:t>
            </w:r>
            <w:r w:rsidR="00BE41BF">
              <w:t>e sostanzialmente quanto segue: ATTENZIONE:</w:t>
            </w:r>
            <w:r w:rsidRPr="006E5BB1">
              <w:t xml:space="preserve"> Assicurarsi che l’apparecchio sia spento</w:t>
            </w:r>
            <w:r w:rsidR="008C5F7B">
              <w:t xml:space="preserve"> prima di toglierlo dalla base;</w:t>
            </w:r>
          </w:p>
          <w:p w:rsidR="00BE41BF" w:rsidRDefault="00BE41BF" w:rsidP="00BE41BF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="006E5BB1" w:rsidRPr="006E5BB1">
              <w:t xml:space="preserve">e istruzioni per gli </w:t>
            </w:r>
            <w:r w:rsidR="006E5BB1" w:rsidRPr="00BE41BF">
              <w:rPr>
                <w:b/>
              </w:rPr>
              <w:t>scalda</w:t>
            </w:r>
            <w:r w:rsidR="00515996">
              <w:rPr>
                <w:b/>
              </w:rPr>
              <w:t xml:space="preserve"> </w:t>
            </w:r>
            <w:r w:rsidR="006E5BB1" w:rsidRPr="00BE41BF">
              <w:rPr>
                <w:b/>
              </w:rPr>
              <w:t>biberon</w:t>
            </w:r>
            <w:r>
              <w:t xml:space="preserve"> devono indicare</w:t>
            </w:r>
            <w:r w:rsidR="006E5BB1" w:rsidRPr="006E5BB1">
              <w:t xml:space="preserve"> che gli alimenti non dovrebbero</w:t>
            </w:r>
            <w:r>
              <w:t xml:space="preserve"> essere scaldati troppo a lungo e</w:t>
            </w:r>
            <w:r w:rsidR="006E5BB1" w:rsidRPr="006E5BB1">
              <w:t xml:space="preserve"> come verificare di non aver superato l</w:t>
            </w:r>
            <w:r w:rsidR="008C5F7B">
              <w:t>a corretta temperature del cibo;</w:t>
            </w:r>
          </w:p>
          <w:p w:rsidR="00BE41BF" w:rsidRDefault="00BE41BF" w:rsidP="00BE41BF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="006E5BB1" w:rsidRPr="006E5BB1">
              <w:t>e istruzioni per le pentole per cottura a pressione</w:t>
            </w:r>
            <w:r>
              <w:t xml:space="preserve">, devono indicare che i condotti nei regolatori di </w:t>
            </w:r>
            <w:r w:rsidR="006E5BB1" w:rsidRPr="006E5BB1">
              <w:t>pressione</w:t>
            </w:r>
            <w:r>
              <w:t>,</w:t>
            </w:r>
            <w:r w:rsidR="006E5BB1" w:rsidRPr="006E5BB1">
              <w:t xml:space="preserve"> che permettono la fuoriuscita di vapore</w:t>
            </w:r>
            <w:r>
              <w:t>,</w:t>
            </w:r>
            <w:r w:rsidR="006E5BB1" w:rsidRPr="006E5BB1">
              <w:t xml:space="preserve"> dovrebbero essere controllati regolarmente onde sin</w:t>
            </w:r>
            <w:r>
              <w:t>cerarsi che non siano bloccati.</w:t>
            </w:r>
            <w:r w:rsidR="006E5BB1" w:rsidRPr="006E5BB1">
              <w:t xml:space="preserve"> Le istruzioni per l’uso delle pentole per cottura a pressione devono fornire dettagli anche su come aprire il contenitore in sicurezza e stabilire che il contenitore non deve essere aperto fino a che la pression</w:t>
            </w:r>
            <w:r>
              <w:t>e non è diminuita a sufficienza;</w:t>
            </w:r>
          </w:p>
          <w:p w:rsidR="008641B5" w:rsidRDefault="00BE41BF" w:rsidP="00BE41BF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="006E5BB1" w:rsidRPr="006E5BB1">
              <w:t xml:space="preserve">e istruzioni per </w:t>
            </w:r>
            <w:r w:rsidR="008641B5">
              <w:t xml:space="preserve">gli apparecchi </w:t>
            </w:r>
            <w:r w:rsidR="006E5BB1" w:rsidRPr="006E5BB1">
              <w:t xml:space="preserve">provvisti di un dispositivo per la foratura </w:t>
            </w:r>
            <w:r w:rsidR="008641B5">
              <w:t xml:space="preserve">(ad esempio </w:t>
            </w:r>
            <w:r w:rsidR="008641B5" w:rsidRPr="006E5BB1">
              <w:t xml:space="preserve">i </w:t>
            </w:r>
            <w:r w:rsidR="008641B5" w:rsidRPr="008641B5">
              <w:rPr>
                <w:b/>
              </w:rPr>
              <w:t>cuoci-uova</w:t>
            </w:r>
            <w:r w:rsidR="008641B5" w:rsidRPr="008641B5">
              <w:t>)</w:t>
            </w:r>
            <w:r w:rsidR="008641B5">
              <w:t xml:space="preserve"> o lame affilate (ad esempio </w:t>
            </w:r>
            <w:r w:rsidR="008641B5" w:rsidRPr="00F55422">
              <w:rPr>
                <w:b/>
              </w:rPr>
              <w:t>macchine per il latte di soia</w:t>
            </w:r>
            <w:r w:rsidR="008641B5">
              <w:t>)</w:t>
            </w:r>
            <w:r w:rsidR="008641B5" w:rsidRPr="006E5BB1">
              <w:t xml:space="preserve"> </w:t>
            </w:r>
            <w:r w:rsidR="006E5BB1" w:rsidRPr="006E5BB1">
              <w:t xml:space="preserve">devono contenere </w:t>
            </w:r>
            <w:r w:rsidR="00F55422">
              <w:t>avvertenze relative alla presenza di elementi acuminati o taglienti con cui ci si può ferire durante la pulizia</w:t>
            </w:r>
            <w:r w:rsidR="008641B5">
              <w:t>;</w:t>
            </w:r>
          </w:p>
          <w:p w:rsidR="006E5BB1" w:rsidRPr="007E68B4" w:rsidRDefault="008641B5" w:rsidP="008C5F7B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lastRenderedPageBreak/>
              <w:t>p</w:t>
            </w:r>
            <w:r w:rsidR="006E5BB1" w:rsidRPr="006E5BB1">
              <w:t xml:space="preserve">er quanto riguarda le </w:t>
            </w:r>
            <w:r w:rsidR="006E5BB1" w:rsidRPr="008641B5">
              <w:rPr>
                <w:b/>
              </w:rPr>
              <w:t>machine per caffè espresso</w:t>
            </w:r>
            <w:r w:rsidR="006E5BB1" w:rsidRPr="006E5BB1">
              <w:t xml:space="preserve"> che contengono un serbatoio in pressione che viene riempito dall’utilizzatore, le istruzioni devono contenere delle informazioni relative a un rabbocco sicuro del serbatoio dell’acqua e sostanzialmente quanto segue: AVVERTENZA: L’apertura per il rabbocco non d</w:t>
            </w:r>
            <w:r>
              <w:t>eve essere aperta durante l’uso;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>gni apparecchio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770DFD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</w:t>
            </w:r>
            <w:r>
              <w:lastRenderedPageBreak/>
              <w:t xml:space="preserve">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675030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17A47A10" wp14:editId="1BEB8178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141442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Pr="00AE503E" w:rsidRDefault="0055798B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2F0BFA" w:rsidRDefault="00802B0F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8161AD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60335-2-</w:t>
            </w:r>
            <w:r w:rsidR="008C5F7B">
              <w:rPr>
                <w:b/>
              </w:rPr>
              <w:t>15</w:t>
            </w:r>
            <w:r w:rsidR="00422BF1" w:rsidRPr="002F0BFA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2F0BFA">
              <w:rPr>
                <w:i/>
              </w:rPr>
              <w:t xml:space="preserve">Sicurezza degli apparecchi elettrici d'uso domestico e similare Parte 2: Norme particolari per </w:t>
            </w:r>
            <w:r w:rsidR="008C5F7B">
              <w:rPr>
                <w:i/>
              </w:rPr>
              <w:t>apparecchi per il riscaldamento dei liquidi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lastRenderedPageBreak/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9D266C" w:rsidP="00CF4B55">
            <w:pPr>
              <w:ind w:left="35"/>
              <w:jc w:val="both"/>
              <w:rPr>
                <w:b/>
              </w:rPr>
            </w:pPr>
            <w:hyperlink r:id="rId18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9D266C" w:rsidRDefault="009D266C" w:rsidP="009D266C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3248C"/>
    <w:rsid w:val="00046B05"/>
    <w:rsid w:val="00076459"/>
    <w:rsid w:val="000A6908"/>
    <w:rsid w:val="000B2323"/>
    <w:rsid w:val="000B24F0"/>
    <w:rsid w:val="000E6D6E"/>
    <w:rsid w:val="0012668B"/>
    <w:rsid w:val="00126C62"/>
    <w:rsid w:val="00180B41"/>
    <w:rsid w:val="001B710B"/>
    <w:rsid w:val="001C1ECA"/>
    <w:rsid w:val="001D0C2B"/>
    <w:rsid w:val="001E733C"/>
    <w:rsid w:val="00202B97"/>
    <w:rsid w:val="00236C55"/>
    <w:rsid w:val="002439B3"/>
    <w:rsid w:val="00272345"/>
    <w:rsid w:val="002A4A4E"/>
    <w:rsid w:val="002A5D34"/>
    <w:rsid w:val="002B2230"/>
    <w:rsid w:val="002D150C"/>
    <w:rsid w:val="002E6D5F"/>
    <w:rsid w:val="002F0BFA"/>
    <w:rsid w:val="00301C1C"/>
    <w:rsid w:val="003046FA"/>
    <w:rsid w:val="00331F6C"/>
    <w:rsid w:val="00360B05"/>
    <w:rsid w:val="003B6537"/>
    <w:rsid w:val="003C6011"/>
    <w:rsid w:val="003C702E"/>
    <w:rsid w:val="003D749F"/>
    <w:rsid w:val="003E6B76"/>
    <w:rsid w:val="003F70D5"/>
    <w:rsid w:val="00402EE3"/>
    <w:rsid w:val="00417962"/>
    <w:rsid w:val="00422BF1"/>
    <w:rsid w:val="00442588"/>
    <w:rsid w:val="0046515B"/>
    <w:rsid w:val="00491364"/>
    <w:rsid w:val="00494711"/>
    <w:rsid w:val="004A4960"/>
    <w:rsid w:val="004B5DB3"/>
    <w:rsid w:val="004D1159"/>
    <w:rsid w:val="004D219C"/>
    <w:rsid w:val="00515996"/>
    <w:rsid w:val="00520D19"/>
    <w:rsid w:val="0055798B"/>
    <w:rsid w:val="00575E2E"/>
    <w:rsid w:val="00585A94"/>
    <w:rsid w:val="005B1BE1"/>
    <w:rsid w:val="005C1391"/>
    <w:rsid w:val="00600ED0"/>
    <w:rsid w:val="00604385"/>
    <w:rsid w:val="00624ECA"/>
    <w:rsid w:val="006254B7"/>
    <w:rsid w:val="00644E2C"/>
    <w:rsid w:val="00675030"/>
    <w:rsid w:val="00695593"/>
    <w:rsid w:val="00695FC3"/>
    <w:rsid w:val="006B49F5"/>
    <w:rsid w:val="006B5728"/>
    <w:rsid w:val="006E5BB1"/>
    <w:rsid w:val="006E657A"/>
    <w:rsid w:val="007101B0"/>
    <w:rsid w:val="00710C8E"/>
    <w:rsid w:val="00743F9A"/>
    <w:rsid w:val="00744658"/>
    <w:rsid w:val="0075356D"/>
    <w:rsid w:val="00760078"/>
    <w:rsid w:val="00770DFD"/>
    <w:rsid w:val="00781C86"/>
    <w:rsid w:val="00784AC8"/>
    <w:rsid w:val="007930F5"/>
    <w:rsid w:val="007B2E81"/>
    <w:rsid w:val="007D2794"/>
    <w:rsid w:val="007D5E32"/>
    <w:rsid w:val="007E68B4"/>
    <w:rsid w:val="00802B0F"/>
    <w:rsid w:val="00804649"/>
    <w:rsid w:val="008110F4"/>
    <w:rsid w:val="008161AD"/>
    <w:rsid w:val="008246D3"/>
    <w:rsid w:val="00856AE1"/>
    <w:rsid w:val="00861139"/>
    <w:rsid w:val="008641B5"/>
    <w:rsid w:val="00864669"/>
    <w:rsid w:val="008746FA"/>
    <w:rsid w:val="008A0296"/>
    <w:rsid w:val="008C5F7B"/>
    <w:rsid w:val="008E35DE"/>
    <w:rsid w:val="008E770E"/>
    <w:rsid w:val="00900300"/>
    <w:rsid w:val="00903CC0"/>
    <w:rsid w:val="009105A1"/>
    <w:rsid w:val="00914C83"/>
    <w:rsid w:val="00941FEA"/>
    <w:rsid w:val="009704C7"/>
    <w:rsid w:val="009C3FFC"/>
    <w:rsid w:val="009D266C"/>
    <w:rsid w:val="009E3DB2"/>
    <w:rsid w:val="009E612E"/>
    <w:rsid w:val="00A0693F"/>
    <w:rsid w:val="00A118F8"/>
    <w:rsid w:val="00A11DFE"/>
    <w:rsid w:val="00A26185"/>
    <w:rsid w:val="00A72F8A"/>
    <w:rsid w:val="00AC6EDC"/>
    <w:rsid w:val="00AC788D"/>
    <w:rsid w:val="00AD3FFC"/>
    <w:rsid w:val="00AE2422"/>
    <w:rsid w:val="00AE2AEC"/>
    <w:rsid w:val="00AE503E"/>
    <w:rsid w:val="00AF3C65"/>
    <w:rsid w:val="00AF714E"/>
    <w:rsid w:val="00AF7C2C"/>
    <w:rsid w:val="00B11521"/>
    <w:rsid w:val="00B26C33"/>
    <w:rsid w:val="00B42ED4"/>
    <w:rsid w:val="00B46074"/>
    <w:rsid w:val="00B57585"/>
    <w:rsid w:val="00B60B69"/>
    <w:rsid w:val="00B63ABE"/>
    <w:rsid w:val="00B7640C"/>
    <w:rsid w:val="00BA06BB"/>
    <w:rsid w:val="00BA5289"/>
    <w:rsid w:val="00BB1C7B"/>
    <w:rsid w:val="00BC05E8"/>
    <w:rsid w:val="00BE41BF"/>
    <w:rsid w:val="00BE7ED7"/>
    <w:rsid w:val="00C200E1"/>
    <w:rsid w:val="00C43E63"/>
    <w:rsid w:val="00C9636F"/>
    <w:rsid w:val="00CB775D"/>
    <w:rsid w:val="00CF4B55"/>
    <w:rsid w:val="00D116E8"/>
    <w:rsid w:val="00D15188"/>
    <w:rsid w:val="00D31113"/>
    <w:rsid w:val="00D62429"/>
    <w:rsid w:val="00D814BC"/>
    <w:rsid w:val="00D95470"/>
    <w:rsid w:val="00DD287B"/>
    <w:rsid w:val="00DE021D"/>
    <w:rsid w:val="00DE26D6"/>
    <w:rsid w:val="00DE3D31"/>
    <w:rsid w:val="00E27451"/>
    <w:rsid w:val="00E37FBF"/>
    <w:rsid w:val="00E5774A"/>
    <w:rsid w:val="00E60F7B"/>
    <w:rsid w:val="00EC3CC9"/>
    <w:rsid w:val="00ED6C3D"/>
    <w:rsid w:val="00EE1542"/>
    <w:rsid w:val="00F04CA0"/>
    <w:rsid w:val="00F119B9"/>
    <w:rsid w:val="00F2045D"/>
    <w:rsid w:val="00F332AD"/>
    <w:rsid w:val="00F44863"/>
    <w:rsid w:val="00F47E27"/>
    <w:rsid w:val="00F5369D"/>
    <w:rsid w:val="00F55422"/>
    <w:rsid w:val="00F70E1F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9</cp:revision>
  <dcterms:created xsi:type="dcterms:W3CDTF">2022-03-21T10:10:00Z</dcterms:created>
  <dcterms:modified xsi:type="dcterms:W3CDTF">2022-05-26T07:02:00Z</dcterms:modified>
</cp:coreProperties>
</file>